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F92E" w14:textId="77777777" w:rsidR="00346749" w:rsidRPr="006A55D5" w:rsidRDefault="00346749" w:rsidP="006A55D5">
      <w:pPr>
        <w:pBdr>
          <w:top w:val="single" w:sz="4" w:space="5" w:color="auto"/>
          <w:bottom w:val="single" w:sz="4" w:space="1" w:color="auto"/>
        </w:pBdr>
        <w:spacing w:before="120" w:line="276" w:lineRule="auto"/>
        <w:jc w:val="center"/>
        <w:rPr>
          <w:rFonts w:ascii="Times New Roman" w:hAnsi="Times New Roman" w:cs="Times New Roman"/>
          <w:b/>
          <w:bCs/>
          <w:sz w:val="24"/>
          <w:szCs w:val="24"/>
          <w:lang w:val="en-US"/>
        </w:rPr>
      </w:pPr>
      <w:r w:rsidRPr="006A55D5">
        <w:rPr>
          <w:rFonts w:ascii="Times New Roman" w:hAnsi="Times New Roman" w:cs="Times New Roman"/>
          <w:b/>
          <w:bCs/>
          <w:sz w:val="24"/>
          <w:szCs w:val="24"/>
          <w:lang w:val="en-US"/>
        </w:rPr>
        <w:t>THE RIGHT TO EXIT: PLATFORM DEPENDENCY AND THE LIMITS OF SOLOPRENEURIAL FREEDOM</w:t>
      </w:r>
    </w:p>
    <w:p w14:paraId="68818BA2" w14:textId="59008A7F" w:rsidR="00394C10" w:rsidRPr="006A55D5" w:rsidRDefault="006A55D5" w:rsidP="006A55D5">
      <w:pPr>
        <w:pBdr>
          <w:top w:val="single" w:sz="4" w:space="5" w:color="auto"/>
          <w:bottom w:val="single" w:sz="4" w:space="1" w:color="auto"/>
        </w:pBdr>
        <w:spacing w:before="120" w:line="276" w:lineRule="auto"/>
        <w:jc w:val="center"/>
        <w:rPr>
          <w:rFonts w:ascii="Times New Roman" w:hAnsi="Times New Roman" w:cs="Times New Roman"/>
          <w:sz w:val="24"/>
          <w:szCs w:val="24"/>
          <w:vertAlign w:val="superscript"/>
          <w:lang w:val="en-US"/>
        </w:rPr>
      </w:pPr>
      <w:r w:rsidRPr="006A55D5">
        <w:rPr>
          <w:rFonts w:ascii="Times New Roman" w:hAnsi="Times New Roman" w:cs="Times New Roman"/>
          <w:b/>
          <w:bCs/>
          <w:sz w:val="24"/>
          <w:szCs w:val="24"/>
          <w:lang w:val="en-US"/>
        </w:rPr>
        <w:t>Siddhi Singh &amp; Nikil Shankar</w:t>
      </w:r>
      <w:r w:rsidR="00394C10" w:rsidRPr="006A55D5">
        <w:rPr>
          <w:rFonts w:ascii="Times New Roman" w:hAnsi="Times New Roman" w:cs="Times New Roman"/>
          <w:b/>
          <w:bCs/>
          <w:sz w:val="24"/>
          <w:szCs w:val="24"/>
          <w:lang w:val="en-US"/>
        </w:rPr>
        <w:br/>
      </w:r>
      <w:r w:rsidR="00394C10" w:rsidRPr="006A55D5">
        <w:rPr>
          <w:rFonts w:ascii="Times New Roman" w:hAnsi="Times New Roman" w:cs="Times New Roman"/>
          <w:sz w:val="24"/>
          <w:szCs w:val="24"/>
          <w:lang w:val="en-US"/>
        </w:rPr>
        <w:t>[Maharashtra National Law University, Nagpur]</w:t>
      </w:r>
    </w:p>
    <w:p w14:paraId="7B0F3CBF" w14:textId="77777777" w:rsidR="00346749" w:rsidRPr="006A55D5" w:rsidRDefault="00346749" w:rsidP="006A55D5">
      <w:pPr>
        <w:spacing w:line="360" w:lineRule="auto"/>
        <w:jc w:val="both"/>
        <w:rPr>
          <w:rFonts w:ascii="Times New Roman" w:hAnsi="Times New Roman" w:cs="Times New Roman"/>
          <w:b/>
          <w:bCs/>
          <w:sz w:val="24"/>
          <w:szCs w:val="24"/>
        </w:rPr>
        <w:sectPr w:rsidR="00346749" w:rsidRPr="006A55D5" w:rsidSect="00394C10">
          <w:headerReference w:type="default" r:id="rId8"/>
          <w:footerReference w:type="default" r:id="rId9"/>
          <w:headerReference w:type="first" r:id="rId10"/>
          <w:pgSz w:w="11906" w:h="16838"/>
          <w:pgMar w:top="1440" w:right="1440" w:bottom="1440" w:left="1440" w:header="283" w:footer="850" w:gutter="0"/>
          <w:cols w:space="708"/>
          <w:titlePg/>
          <w:docGrid w:linePitch="360"/>
        </w:sectPr>
      </w:pPr>
    </w:p>
    <w:p w14:paraId="51B0B0B5" w14:textId="77777777" w:rsidR="00BA2E42" w:rsidRPr="006A55D5" w:rsidRDefault="00BA2E42" w:rsidP="006A55D5">
      <w:pPr>
        <w:spacing w:line="360" w:lineRule="auto"/>
        <w:jc w:val="both"/>
        <w:rPr>
          <w:rFonts w:ascii="Times New Roman" w:hAnsi="Times New Roman" w:cs="Times New Roman"/>
          <w:b/>
          <w:bCs/>
          <w:sz w:val="24"/>
          <w:szCs w:val="24"/>
        </w:rPr>
      </w:pPr>
      <w:r w:rsidRPr="006A55D5">
        <w:rPr>
          <w:rFonts w:ascii="Times New Roman" w:hAnsi="Times New Roman" w:cs="Times New Roman"/>
          <w:b/>
          <w:bCs/>
          <w:sz w:val="24"/>
          <w:szCs w:val="24"/>
        </w:rPr>
        <w:t>Abstract</w:t>
      </w:r>
    </w:p>
    <w:p w14:paraId="4E536733" w14:textId="603FB74B" w:rsidR="00012941" w:rsidRPr="006A55D5" w:rsidRDefault="00012941"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 xml:space="preserve">Nowadays, many people earn through platforms like Upwork, YouTube, </w:t>
      </w:r>
      <w:r w:rsidR="006A55D5" w:rsidRPr="006A55D5">
        <w:rPr>
          <w:rFonts w:ascii="Times New Roman" w:hAnsi="Times New Roman" w:cs="Times New Roman"/>
          <w:sz w:val="24"/>
          <w:szCs w:val="24"/>
        </w:rPr>
        <w:t>Amazon,</w:t>
      </w:r>
      <w:r w:rsidRPr="006A55D5">
        <w:rPr>
          <w:rFonts w:ascii="Times New Roman" w:hAnsi="Times New Roman" w:cs="Times New Roman"/>
          <w:sz w:val="24"/>
          <w:szCs w:val="24"/>
        </w:rPr>
        <w:t xml:space="preserve"> and Flipkart. These platforms make work easier and give people freedom to work in their own way. But at the same time, they also decide who gets work, customers, or can keep using the platform.</w:t>
      </w:r>
    </w:p>
    <w:p w14:paraId="6BD4C14C" w14:textId="742A0FE6" w:rsidR="002D57C0" w:rsidRPr="006A55D5" w:rsidRDefault="002D57C0"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This essay discusses the idea of an "exit deficit." It means that a person may suffer serious financial loss if they leave a platform or if their account is removed. This problem exists because labour laws mainly protect employees, while commercial laws are made for independent businesses. Solopreneurs fall somewhere in between and often do not get enough legal protection.</w:t>
      </w:r>
    </w:p>
    <w:p w14:paraId="5C086589" w14:textId="77777777" w:rsidR="002D57C0" w:rsidRPr="006A55D5" w:rsidRDefault="002D57C0"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 xml:space="preserve">Using India's Code on Social Security (2020), the Karnataka Platform-Based Gig Workers (Social Security and Welfare) Act (2025), Australia's Fair Work Digital Labour Platform Deactivation Code (2025), and the ILO Draft Convention on Decent Work in the Platform Economy (2025), this </w:t>
      </w:r>
      <w:r w:rsidRPr="006A55D5">
        <w:rPr>
          <w:rFonts w:ascii="Times New Roman" w:hAnsi="Times New Roman" w:cs="Times New Roman"/>
          <w:sz w:val="24"/>
          <w:szCs w:val="24"/>
        </w:rPr>
        <w:t>essay argues for a right to exit. This should include fair deactivation rules, data portability, and the ability to carry professional reputation across platforms.</w:t>
      </w:r>
    </w:p>
    <w:p w14:paraId="48BA525A" w14:textId="637CF5D6" w:rsidR="00830895" w:rsidRPr="006A55D5" w:rsidRDefault="003E4DC5" w:rsidP="006A55D5">
      <w:pPr>
        <w:pBdr>
          <w:bottom w:val="single" w:sz="6" w:space="1" w:color="auto"/>
        </w:pBd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India is a very important example in this area because the number of gig workers in the country is growing very fast. According to NITI Aayog (2022), around 23.5 million people may be working in the gig economy by 2029–30. As more and more people start depending on platform-based work for their income, the need for better legal protection is also becoming more important.</w:t>
      </w:r>
    </w:p>
    <w:p w14:paraId="4A0CAA58" w14:textId="77777777" w:rsidR="00B97484" w:rsidRPr="006A55D5" w:rsidRDefault="00B97484" w:rsidP="006A55D5">
      <w:pPr>
        <w:pStyle w:val="Heading1"/>
        <w:jc w:val="both"/>
        <w:rPr>
          <w:rFonts w:ascii="Times New Roman" w:hAnsi="Times New Roman" w:cs="Times New Roman"/>
          <w:b/>
          <w:bCs/>
          <w:color w:val="auto"/>
          <w:sz w:val="24"/>
          <w:szCs w:val="24"/>
        </w:rPr>
      </w:pPr>
      <w:bookmarkStart w:id="0" w:name="_Toc232027445"/>
      <w:r w:rsidRPr="006A55D5">
        <w:rPr>
          <w:rFonts w:ascii="Times New Roman" w:hAnsi="Times New Roman" w:cs="Times New Roman"/>
          <w:b/>
          <w:bCs/>
          <w:color w:val="auto"/>
          <w:sz w:val="24"/>
          <w:szCs w:val="24"/>
        </w:rPr>
        <w:t>1. Introduction: The Promise and the Paradox</w:t>
      </w:r>
      <w:bookmarkEnd w:id="0"/>
    </w:p>
    <w:p w14:paraId="39CED18F" w14:textId="2BEEC112" w:rsidR="009267E4" w:rsidRPr="006A55D5" w:rsidRDefault="005630BC"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Suppose, there is</w:t>
      </w:r>
      <w:r w:rsidR="009267E4" w:rsidRPr="006A55D5">
        <w:rPr>
          <w:rFonts w:ascii="Times New Roman" w:hAnsi="Times New Roman" w:cs="Times New Roman"/>
          <w:sz w:val="24"/>
          <w:szCs w:val="24"/>
        </w:rPr>
        <w:t xml:space="preserve"> a software developer in Bengaluru who spent four years building her career on a freelancing platform. She completed more than 200 projects and </w:t>
      </w:r>
      <w:r w:rsidR="006A55D5" w:rsidRPr="006A55D5">
        <w:rPr>
          <w:rFonts w:ascii="Times New Roman" w:hAnsi="Times New Roman" w:cs="Times New Roman"/>
          <w:sz w:val="24"/>
          <w:szCs w:val="24"/>
        </w:rPr>
        <w:t>received</w:t>
      </w:r>
      <w:r w:rsidR="009267E4" w:rsidRPr="006A55D5">
        <w:rPr>
          <w:rFonts w:ascii="Times New Roman" w:hAnsi="Times New Roman" w:cs="Times New Roman"/>
          <w:sz w:val="24"/>
          <w:szCs w:val="24"/>
        </w:rPr>
        <w:t xml:space="preserve"> great reviews from clients. But one day, her account was suddenly suspended for “irregular activity.” No proper reason was given, and she was not allowed to explain her side. </w:t>
      </w:r>
      <w:r w:rsidR="007B7387" w:rsidRPr="006A55D5">
        <w:rPr>
          <w:rFonts w:ascii="Times New Roman" w:hAnsi="Times New Roman" w:cs="Times New Roman"/>
          <w:sz w:val="24"/>
          <w:szCs w:val="24"/>
        </w:rPr>
        <w:t xml:space="preserve">With time </w:t>
      </w:r>
      <w:r w:rsidR="009267E4" w:rsidRPr="006A55D5">
        <w:rPr>
          <w:rFonts w:ascii="Times New Roman" w:hAnsi="Times New Roman" w:cs="Times New Roman"/>
          <w:sz w:val="24"/>
          <w:szCs w:val="24"/>
        </w:rPr>
        <w:t xml:space="preserve">she lost access </w:t>
      </w:r>
      <w:r w:rsidR="009267E4" w:rsidRPr="006A55D5">
        <w:rPr>
          <w:rFonts w:ascii="Times New Roman" w:hAnsi="Times New Roman" w:cs="Times New Roman"/>
          <w:sz w:val="24"/>
          <w:szCs w:val="24"/>
        </w:rPr>
        <w:lastRenderedPageBreak/>
        <w:t>to the work she depended on and the reputation she had worked hard to build.</w:t>
      </w:r>
    </w:p>
    <w:p w14:paraId="4E4A24AE" w14:textId="3A032F5D" w:rsidR="009267E4" w:rsidRPr="006A55D5" w:rsidRDefault="009267E4"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Many people who depend on digital platforms face similar issues. A YouTube creator may suddenly lose monetisation, while an Amazon seller’s account can be suspended without a fair chance to appeal. Even though these people are called independent entrepreneurs</w:t>
      </w:r>
      <w:r w:rsidR="00A26ADA" w:rsidRPr="006A55D5">
        <w:rPr>
          <w:rFonts w:ascii="Times New Roman" w:hAnsi="Times New Roman" w:cs="Times New Roman"/>
          <w:sz w:val="24"/>
          <w:szCs w:val="24"/>
        </w:rPr>
        <w:t xml:space="preserve"> as</w:t>
      </w:r>
      <w:r w:rsidRPr="006A55D5">
        <w:rPr>
          <w:rFonts w:ascii="Times New Roman" w:hAnsi="Times New Roman" w:cs="Times New Roman"/>
          <w:sz w:val="24"/>
          <w:szCs w:val="24"/>
        </w:rPr>
        <w:t xml:space="preserve"> their livelihood often depends heavily on the platforms they use. In many cases their work can disappear in just one click.</w:t>
      </w:r>
    </w:p>
    <w:p w14:paraId="0421B4AE" w14:textId="2E430051" w:rsidR="00BA2E42" w:rsidRPr="006A55D5" w:rsidRDefault="00B97484"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This shows a major problem in the platform economy. People are free to join a platform, but leaving one, or being removed from one, can cause serious financial harm. This essay calls this problem the "exit deficit." It examines why existing laws fail to address it and suggests legal solutions by looking at developments in India, Australia, the European Union, and international labour standards.</w:t>
      </w:r>
    </w:p>
    <w:p w14:paraId="0BAADB33" w14:textId="77777777" w:rsidR="005C0CB4" w:rsidRPr="006A55D5" w:rsidRDefault="005C0CB4" w:rsidP="006A55D5">
      <w:pPr>
        <w:pStyle w:val="Heading1"/>
        <w:jc w:val="both"/>
        <w:rPr>
          <w:rFonts w:ascii="Times New Roman" w:hAnsi="Times New Roman" w:cs="Times New Roman"/>
          <w:b/>
          <w:bCs/>
          <w:color w:val="auto"/>
          <w:sz w:val="24"/>
          <w:szCs w:val="24"/>
        </w:rPr>
      </w:pPr>
      <w:bookmarkStart w:id="1" w:name="_Toc232027446"/>
      <w:r w:rsidRPr="006A55D5">
        <w:rPr>
          <w:rFonts w:ascii="Times New Roman" w:hAnsi="Times New Roman" w:cs="Times New Roman"/>
          <w:b/>
          <w:bCs/>
          <w:color w:val="auto"/>
          <w:sz w:val="24"/>
          <w:szCs w:val="24"/>
        </w:rPr>
        <w:t>2. The Exit Deficit: Three Mechanisms of Lock-In</w:t>
      </w:r>
      <w:bookmarkEnd w:id="1"/>
    </w:p>
    <w:p w14:paraId="2710D782" w14:textId="77777777" w:rsidR="008C21E7" w:rsidRPr="006A55D5" w:rsidRDefault="008C21E7"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The exit deficit does not happen because of one reason alone. It is caused by three different forms of lock-in that makes leaving a platform very difficult, even when staying on it is no longer beneficial.</w:t>
      </w:r>
    </w:p>
    <w:p w14:paraId="4C285A7C" w14:textId="77777777" w:rsidR="008C21E7" w:rsidRPr="006A55D5" w:rsidRDefault="008C21E7"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 xml:space="preserve">One major problem is reputational lock-in. Freelancers spend years earning good ratings, reviews, and badges on a platform. </w:t>
      </w:r>
      <w:r w:rsidRPr="006A55D5">
        <w:rPr>
          <w:rFonts w:ascii="Times New Roman" w:hAnsi="Times New Roman" w:cs="Times New Roman"/>
          <w:sz w:val="24"/>
          <w:szCs w:val="24"/>
        </w:rPr>
        <w:t>These helps them get more work and build trust with clients. But in most cases, this reputation cannot be carried to another platform. If they leave, they often have to start from scratch. This is a serious issue in India, which has around 15 million freelancers, many of whom depend on reputations that are linked to a single platform (NITI Aayog, 2022; Mondaq, 2025). Moving to a new platform often means starting all over again with no ratings, reviews, or work history.</w:t>
      </w:r>
    </w:p>
    <w:p w14:paraId="43243318" w14:textId="77777777" w:rsidR="008C21E7" w:rsidRPr="006A55D5" w:rsidRDefault="008C21E7"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The second is audience lock-in. Content creators also face a similar problem. They may spend years building a loyal audience and gaining thousands of followers or subscribers. However, they do not have full control over these relationships. For example, a creator on YouTube may suddenly lose a large part of their income if the platform decides to demonetise their content. The creator cannot easily move that audience to another platform because the platform controls access to it.</w:t>
      </w:r>
    </w:p>
    <w:p w14:paraId="5EC8F6B5" w14:textId="14D9BB24" w:rsidR="008C21E7" w:rsidRPr="006A55D5" w:rsidRDefault="008C21E7"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 xml:space="preserve">The third is contractual lock-in. Many platforms do not allow users to contact clients or customers outside the platform. Their terms and conditions are usually non-negotiable, and breaking them can lead to account suspension. As a result, client relationships often </w:t>
      </w:r>
      <w:r w:rsidR="006A55D5" w:rsidRPr="006A55D5">
        <w:rPr>
          <w:rFonts w:ascii="Times New Roman" w:hAnsi="Times New Roman" w:cs="Times New Roman"/>
          <w:sz w:val="24"/>
          <w:szCs w:val="24"/>
        </w:rPr>
        <w:t>remain</w:t>
      </w:r>
      <w:r w:rsidRPr="006A55D5">
        <w:rPr>
          <w:rFonts w:ascii="Times New Roman" w:hAnsi="Times New Roman" w:cs="Times New Roman"/>
          <w:sz w:val="24"/>
          <w:szCs w:val="24"/>
        </w:rPr>
        <w:t xml:space="preserve"> under the platform's control rather than the </w:t>
      </w:r>
      <w:r w:rsidR="006A55D5" w:rsidRPr="006A55D5">
        <w:rPr>
          <w:rFonts w:ascii="Times New Roman" w:hAnsi="Times New Roman" w:cs="Times New Roman"/>
          <w:sz w:val="24"/>
          <w:szCs w:val="24"/>
        </w:rPr>
        <w:t>workers</w:t>
      </w:r>
      <w:r w:rsidRPr="006A55D5">
        <w:rPr>
          <w:rFonts w:ascii="Times New Roman" w:hAnsi="Times New Roman" w:cs="Times New Roman"/>
          <w:sz w:val="24"/>
          <w:szCs w:val="24"/>
        </w:rPr>
        <w:t>.</w:t>
      </w:r>
    </w:p>
    <w:p w14:paraId="5EAD7989" w14:textId="6002DCBF" w:rsidR="008C21E7" w:rsidRPr="006A55D5" w:rsidRDefault="008C21E7"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lastRenderedPageBreak/>
        <w:t>These forms of lock-in create a serious problem. As a solopreneur becomes more successful on a platform, they often become more dependent on it and with time, leaving the platform becomes increasingly difficult because doing so may mean losing income, reputation, customers, or audience built over many years. Years of reviews, clients, and audience building can be lost in a short time. In this way, dependency is not an accident of platform work; it becomes a part of how the system operate.</w:t>
      </w:r>
    </w:p>
    <w:p w14:paraId="32253DAA" w14:textId="7B3D96D0" w:rsidR="00BA2E42" w:rsidRPr="006A55D5" w:rsidRDefault="00BA2E42" w:rsidP="006A55D5">
      <w:pPr>
        <w:spacing w:line="360" w:lineRule="auto"/>
        <w:jc w:val="both"/>
        <w:rPr>
          <w:rFonts w:ascii="Times New Roman" w:hAnsi="Times New Roman" w:cs="Times New Roman"/>
          <w:sz w:val="24"/>
          <w:szCs w:val="24"/>
        </w:rPr>
      </w:pPr>
    </w:p>
    <w:p w14:paraId="1627F821" w14:textId="77777777" w:rsidR="00D86458" w:rsidRPr="006A55D5" w:rsidRDefault="00D86458" w:rsidP="006A55D5">
      <w:pPr>
        <w:pStyle w:val="Heading1"/>
        <w:jc w:val="both"/>
        <w:rPr>
          <w:rFonts w:ascii="Times New Roman" w:hAnsi="Times New Roman" w:cs="Times New Roman"/>
          <w:b/>
          <w:bCs/>
          <w:color w:val="auto"/>
          <w:sz w:val="24"/>
          <w:szCs w:val="24"/>
        </w:rPr>
      </w:pPr>
      <w:bookmarkStart w:id="2" w:name="_Toc232027447"/>
      <w:r w:rsidRPr="006A55D5">
        <w:rPr>
          <w:rFonts w:ascii="Times New Roman" w:hAnsi="Times New Roman" w:cs="Times New Roman"/>
          <w:b/>
          <w:bCs/>
          <w:color w:val="auto"/>
          <w:sz w:val="24"/>
          <w:szCs w:val="24"/>
        </w:rPr>
        <w:t>3. Why Existing Law Fails</w:t>
      </w:r>
      <w:bookmarkEnd w:id="2"/>
    </w:p>
    <w:p w14:paraId="1666B84D" w14:textId="77777777" w:rsidR="00D86458" w:rsidRPr="006A55D5" w:rsidRDefault="00D86458"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The law does not properly deal with the exit deficit because solopreneurs do not fit neatly into existing legal categories. They are neither traditional employees nor fully independent businesses.</w:t>
      </w:r>
    </w:p>
    <w:p w14:paraId="386F7405" w14:textId="77777777" w:rsidR="00F6196A" w:rsidRPr="006A55D5" w:rsidRDefault="00F6196A"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Labour law is usually meant to protect workers who depend on an employer for their income and work. In the UK case of Uber BV v Aslam (2021), the Supreme Court held that Uber drivers were workers because Uber had a lot of control over how they performed their work (Adams-Prassl, 2022). The Court also pointed out that drivers had very little ability to increase their earnings except by working longer hours, making legal protection necessary (Uber BV v Aslam, 2021).</w:t>
      </w:r>
    </w:p>
    <w:p w14:paraId="26C2BB7C" w14:textId="46FF1973" w:rsidR="00F6196A" w:rsidRPr="006A55D5" w:rsidRDefault="00F6196A"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 xml:space="preserve">However, this approach does not always fit many solopreneurs. For example, a freelance developer may choose her own clients, decide her own rates, and manage her work </w:t>
      </w:r>
      <w:r w:rsidR="006A55D5" w:rsidRPr="006A55D5">
        <w:rPr>
          <w:rFonts w:ascii="Times New Roman" w:hAnsi="Times New Roman" w:cs="Times New Roman"/>
          <w:sz w:val="24"/>
          <w:szCs w:val="24"/>
        </w:rPr>
        <w:t>independently</w:t>
      </w:r>
      <w:r w:rsidRPr="006A55D5">
        <w:rPr>
          <w:rFonts w:ascii="Times New Roman" w:hAnsi="Times New Roman" w:cs="Times New Roman"/>
          <w:sz w:val="24"/>
          <w:szCs w:val="24"/>
        </w:rPr>
        <w:t>. Because of this greater freedom and control, she may not be covered by traditional labour law protections.</w:t>
      </w:r>
    </w:p>
    <w:p w14:paraId="22284572" w14:textId="0772E59D" w:rsidR="00D86458" w:rsidRPr="006A55D5" w:rsidRDefault="00D86458"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 xml:space="preserve">Commercial law has the opposite problem. It assumes that people freely enter business agreements and can look after their own interests. Courts often view solopreneurs as independent market participants, even though platform terms are usually non-negotiable and platforms hold much greater power. </w:t>
      </w:r>
      <w:r w:rsidR="00344F2D" w:rsidRPr="006A55D5">
        <w:rPr>
          <w:rFonts w:ascii="Times New Roman" w:hAnsi="Times New Roman" w:cs="Times New Roman"/>
          <w:sz w:val="24"/>
          <w:szCs w:val="24"/>
        </w:rPr>
        <w:t>This view ignores that leaving a platform can be very difficult. A person may lose their ratings, customers, and source of income. Because of this, solopreneurs fall in the middle. They have some freedom in their work, but they also depend a lot on the platforms they use</w:t>
      </w:r>
      <w:r w:rsidR="007D7E5C" w:rsidRPr="006A55D5">
        <w:rPr>
          <w:rFonts w:ascii="Times New Roman" w:hAnsi="Times New Roman" w:cs="Times New Roman"/>
          <w:sz w:val="24"/>
          <w:szCs w:val="24"/>
        </w:rPr>
        <w:t xml:space="preserve">. </w:t>
      </w:r>
      <w:r w:rsidRPr="006A55D5">
        <w:rPr>
          <w:rFonts w:ascii="Times New Roman" w:hAnsi="Times New Roman" w:cs="Times New Roman"/>
          <w:sz w:val="24"/>
          <w:szCs w:val="24"/>
        </w:rPr>
        <w:t>Because of this, neither labour law nor commercial law gives them an effective right to exit.</w:t>
      </w:r>
    </w:p>
    <w:p w14:paraId="7DFCDF82" w14:textId="6D6C9F12" w:rsidR="00D86458" w:rsidRPr="006A55D5" w:rsidRDefault="000A10C0"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 xml:space="preserve">In India, this issue is becoming more important. The Code on Social Security (2020), which came into force on 21 November 2025, recognised gig and platform workers for the first time under central law. </w:t>
      </w:r>
      <w:r w:rsidR="00D86458" w:rsidRPr="006A55D5">
        <w:rPr>
          <w:rFonts w:ascii="Times New Roman" w:hAnsi="Times New Roman" w:cs="Times New Roman"/>
          <w:sz w:val="24"/>
          <w:szCs w:val="24"/>
        </w:rPr>
        <w:t xml:space="preserve">Section 2(35) defines a gig worker, while Section 2(6) defines an aggregator (Code on Social Security, 2020). </w:t>
      </w:r>
      <w:r w:rsidR="00D86458" w:rsidRPr="006A55D5">
        <w:rPr>
          <w:rFonts w:ascii="Times New Roman" w:hAnsi="Times New Roman" w:cs="Times New Roman"/>
          <w:sz w:val="24"/>
          <w:szCs w:val="24"/>
        </w:rPr>
        <w:lastRenderedPageBreak/>
        <w:t>The law also requires aggregators to contribute 1–2% of their annual turnover to a Social Security Fund that supports benefits such as insurance, healthcare, and old-age protection (Code on Social Security, 2020; Press Information Bureau, 2025).</w:t>
      </w:r>
    </w:p>
    <w:p w14:paraId="691767CC" w14:textId="77777777" w:rsidR="00D86458" w:rsidRPr="006A55D5" w:rsidRDefault="00D86458"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This was an important step forward. However, the Code mainly focuses on social security benefits for workers while they remain on a platform. It does not provide protections when workers leave a platform or are removed from one. Therefore, the exit deficit still remains largely unaddressed in Indian law.</w:t>
      </w:r>
    </w:p>
    <w:p w14:paraId="11D2AD9E" w14:textId="713F56CF" w:rsidR="00BA2E42" w:rsidRPr="006A55D5" w:rsidRDefault="00BA2E42" w:rsidP="006A55D5">
      <w:pPr>
        <w:spacing w:line="360" w:lineRule="auto"/>
        <w:jc w:val="both"/>
        <w:rPr>
          <w:rFonts w:ascii="Times New Roman" w:hAnsi="Times New Roman" w:cs="Times New Roman"/>
          <w:sz w:val="24"/>
          <w:szCs w:val="24"/>
        </w:rPr>
      </w:pPr>
    </w:p>
    <w:p w14:paraId="08A23B00" w14:textId="77777777" w:rsidR="00184625" w:rsidRPr="006A55D5" w:rsidRDefault="00184625" w:rsidP="006A55D5">
      <w:pPr>
        <w:pStyle w:val="Heading1"/>
        <w:jc w:val="both"/>
        <w:rPr>
          <w:rFonts w:ascii="Times New Roman" w:hAnsi="Times New Roman" w:cs="Times New Roman"/>
          <w:b/>
          <w:bCs/>
          <w:color w:val="auto"/>
          <w:sz w:val="24"/>
          <w:szCs w:val="24"/>
        </w:rPr>
      </w:pPr>
      <w:bookmarkStart w:id="3" w:name="_Toc232027448"/>
      <w:r w:rsidRPr="006A55D5">
        <w:rPr>
          <w:rFonts w:ascii="Times New Roman" w:hAnsi="Times New Roman" w:cs="Times New Roman"/>
          <w:b/>
          <w:bCs/>
          <w:color w:val="auto"/>
          <w:sz w:val="24"/>
          <w:szCs w:val="24"/>
        </w:rPr>
        <w:t>4. Towards a Right to Exit</w:t>
      </w:r>
      <w:bookmarkEnd w:id="3"/>
    </w:p>
    <w:p w14:paraId="52BE21E0" w14:textId="77777777" w:rsidR="00184625" w:rsidRPr="006A55D5" w:rsidRDefault="00184625"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The right to exit does not mean that a person can never be removed from a platform. It means that workers should be able to leave a platform, or be removed from it, without suffering unfair and serious economic harm. This right can be built on three main pillars.</w:t>
      </w:r>
    </w:p>
    <w:p w14:paraId="1D7EBFA4" w14:textId="7B49426E" w:rsidR="00350D7C" w:rsidRPr="006A55D5" w:rsidRDefault="00184625"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The first is fair deactivation standards.</w:t>
      </w:r>
      <w:r w:rsidR="00350D7C" w:rsidRPr="006A55D5">
        <w:rPr>
          <w:rFonts w:ascii="Times New Roman" w:eastAsia="Times New Roman" w:hAnsi="Times New Roman" w:cs="Times New Roman"/>
          <w:kern w:val="0"/>
          <w:sz w:val="24"/>
          <w:szCs w:val="24"/>
          <w:lang w:eastAsia="en-IN"/>
          <w14:ligatures w14:val="none"/>
        </w:rPr>
        <w:t xml:space="preserve"> </w:t>
      </w:r>
      <w:r w:rsidR="00350D7C" w:rsidRPr="006A55D5">
        <w:rPr>
          <w:rFonts w:ascii="Times New Roman" w:hAnsi="Times New Roman" w:cs="Times New Roman"/>
          <w:sz w:val="24"/>
          <w:szCs w:val="24"/>
        </w:rPr>
        <w:t xml:space="preserve">The Karnataka Platform-Based Gig Workers (Social Security and Welfare) Act (2025) gives some important protections to gig workers. It says that platforms must give written reasons and fourteen days' notice before deactivating a worker's account except in urgent cases. Workers also have </w:t>
      </w:r>
      <w:r w:rsidR="00350D7C" w:rsidRPr="006A55D5">
        <w:rPr>
          <w:rFonts w:ascii="Times New Roman" w:hAnsi="Times New Roman" w:cs="Times New Roman"/>
          <w:sz w:val="24"/>
          <w:szCs w:val="24"/>
        </w:rPr>
        <w:t>the right to appeal (Karnataka Platform-Based Gig Workers Act, 2025, § 14(2)).</w:t>
      </w:r>
    </w:p>
    <w:p w14:paraId="228ACA0D" w14:textId="77DE7CA7" w:rsidR="00350D7C" w:rsidRPr="006A55D5" w:rsidRDefault="00350D7C"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The law also requires platforms to clearly explain how automated systems affect earnings, work allocation, and account status (Karnataka Platform-Based Gig Workers Act, 2025, § 13). This is important because such decisions can directly affect a worker's income (</w:t>
      </w:r>
      <w:r w:rsidR="006A55D5" w:rsidRPr="006A55D5">
        <w:rPr>
          <w:rFonts w:ascii="Times New Roman" w:hAnsi="Times New Roman" w:cs="Times New Roman"/>
          <w:sz w:val="24"/>
          <w:szCs w:val="24"/>
        </w:rPr>
        <w:t>Media Nama</w:t>
      </w:r>
      <w:r w:rsidRPr="006A55D5">
        <w:rPr>
          <w:rFonts w:ascii="Times New Roman" w:hAnsi="Times New Roman" w:cs="Times New Roman"/>
          <w:sz w:val="24"/>
          <w:szCs w:val="24"/>
        </w:rPr>
        <w:t>, 2025).</w:t>
      </w:r>
    </w:p>
    <w:p w14:paraId="63267506" w14:textId="2631EC9D" w:rsidR="00350D7C" w:rsidRPr="006A55D5" w:rsidRDefault="00350D7C"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However, these protections apply only in Karnataka. Many workers in other parts of India still do not have similar safeguards. Australia's Fair Work Digital Labour Platform Deactivation Code (2025), which came into force on 25 February 2025, offers another useful example.</w:t>
      </w:r>
    </w:p>
    <w:p w14:paraId="18590EEB" w14:textId="732977E7" w:rsidR="006A1208" w:rsidRPr="006A55D5" w:rsidRDefault="00184625"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It requires platforms to provide notice, reasons, and access to dispute resolution before deactivating workers who depend on platform work for their income.</w:t>
      </w:r>
      <w:r w:rsidR="006A1208" w:rsidRPr="006A55D5">
        <w:rPr>
          <w:rFonts w:ascii="Times New Roman" w:eastAsia="Times New Roman" w:hAnsi="Times New Roman" w:cs="Times New Roman"/>
          <w:kern w:val="0"/>
          <w:sz w:val="24"/>
          <w:szCs w:val="24"/>
          <w:lang w:eastAsia="en-IN"/>
          <w14:ligatures w14:val="none"/>
        </w:rPr>
        <w:t xml:space="preserve"> </w:t>
      </w:r>
      <w:r w:rsidR="006A1208" w:rsidRPr="006A55D5">
        <w:rPr>
          <w:rFonts w:ascii="Times New Roman" w:hAnsi="Times New Roman" w:cs="Times New Roman"/>
          <w:sz w:val="24"/>
          <w:szCs w:val="24"/>
        </w:rPr>
        <w:t>Importantly, these protections also cover independent contractors (Fair Work Commission, 2025). This shows that basic protections can be given even without treating workers as employees.</w:t>
      </w:r>
    </w:p>
    <w:p w14:paraId="06FEB65D" w14:textId="5DB5E57F" w:rsidR="00C94BE3" w:rsidRPr="006A55D5" w:rsidRDefault="006A1208"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 xml:space="preserve">The second pillar is data portability. This means workers should be able to carry their ratings, reviews, and work records when moving to another platform. The EU Data Act, Regulation 2023/2854 (2023), supports this by making it easier for users </w:t>
      </w:r>
      <w:r w:rsidRPr="006A55D5">
        <w:rPr>
          <w:rFonts w:ascii="Times New Roman" w:hAnsi="Times New Roman" w:cs="Times New Roman"/>
          <w:sz w:val="24"/>
          <w:szCs w:val="24"/>
        </w:rPr>
        <w:lastRenderedPageBreak/>
        <w:t>to switch services (European Parliament and Council, 2023, Art. 29).</w:t>
      </w:r>
    </w:p>
    <w:p w14:paraId="74A6CF58" w14:textId="7D78FA3A" w:rsidR="00184625" w:rsidRPr="006A55D5" w:rsidRDefault="00184625"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Although the law does not directly apply to labour platforms, its approach is useful. In India, the Digital Personal Data Protection Act (2023) protects personal data but does not cover professional reputation data such as ratings, reviews, and work history. Allowing workers to transfer such data would reduce platform dependency.</w:t>
      </w:r>
    </w:p>
    <w:p w14:paraId="5E9FA6BF" w14:textId="58673640" w:rsidR="002E64F9" w:rsidRPr="006A55D5" w:rsidRDefault="00184625"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The third pillar is reputation portability</w:t>
      </w:r>
      <w:r w:rsidR="00185B24" w:rsidRPr="006A55D5">
        <w:rPr>
          <w:rFonts w:ascii="Times New Roman" w:hAnsi="Times New Roman" w:cs="Times New Roman"/>
          <w:sz w:val="24"/>
          <w:szCs w:val="24"/>
        </w:rPr>
        <w:t xml:space="preserve"> which</w:t>
      </w:r>
      <w:r w:rsidRPr="006A55D5">
        <w:rPr>
          <w:rFonts w:ascii="Times New Roman" w:hAnsi="Times New Roman" w:cs="Times New Roman"/>
          <w:sz w:val="24"/>
          <w:szCs w:val="24"/>
        </w:rPr>
        <w:t xml:space="preserve"> means that workers should be able to carry verified records of completed projects, ratings, </w:t>
      </w:r>
      <w:r w:rsidR="006A55D5" w:rsidRPr="006A55D5">
        <w:rPr>
          <w:rFonts w:ascii="Times New Roman" w:hAnsi="Times New Roman" w:cs="Times New Roman"/>
          <w:sz w:val="24"/>
          <w:szCs w:val="24"/>
        </w:rPr>
        <w:t>reviews,</w:t>
      </w:r>
      <w:r w:rsidRPr="006A55D5">
        <w:rPr>
          <w:rFonts w:ascii="Times New Roman" w:hAnsi="Times New Roman" w:cs="Times New Roman"/>
          <w:sz w:val="24"/>
          <w:szCs w:val="24"/>
        </w:rPr>
        <w:t xml:space="preserve"> and skill certifications from one platform to another. At present, no country has fully recognised this right. </w:t>
      </w:r>
      <w:r w:rsidR="005263A0" w:rsidRPr="006A55D5">
        <w:rPr>
          <w:rFonts w:ascii="Times New Roman" w:hAnsi="Times New Roman" w:cs="Times New Roman"/>
          <w:sz w:val="24"/>
          <w:szCs w:val="24"/>
        </w:rPr>
        <w:t>Then also</w:t>
      </w:r>
      <w:r w:rsidRPr="006A55D5">
        <w:rPr>
          <w:rFonts w:ascii="Times New Roman" w:hAnsi="Times New Roman" w:cs="Times New Roman"/>
          <w:sz w:val="24"/>
          <w:szCs w:val="24"/>
        </w:rPr>
        <w:t xml:space="preserve"> it could help workers </w:t>
      </w:r>
      <w:r w:rsidR="005263A0" w:rsidRPr="006A55D5">
        <w:rPr>
          <w:rFonts w:ascii="Times New Roman" w:hAnsi="Times New Roman" w:cs="Times New Roman"/>
          <w:sz w:val="24"/>
          <w:szCs w:val="24"/>
        </w:rPr>
        <w:t xml:space="preserve">in </w:t>
      </w:r>
      <w:r w:rsidRPr="006A55D5">
        <w:rPr>
          <w:rFonts w:ascii="Times New Roman" w:hAnsi="Times New Roman" w:cs="Times New Roman"/>
          <w:sz w:val="24"/>
          <w:szCs w:val="24"/>
        </w:rPr>
        <w:t>preserv</w:t>
      </w:r>
      <w:r w:rsidR="005263A0" w:rsidRPr="006A55D5">
        <w:rPr>
          <w:rFonts w:ascii="Times New Roman" w:hAnsi="Times New Roman" w:cs="Times New Roman"/>
          <w:sz w:val="24"/>
          <w:szCs w:val="24"/>
        </w:rPr>
        <w:t>ing</w:t>
      </w:r>
      <w:r w:rsidRPr="006A55D5">
        <w:rPr>
          <w:rFonts w:ascii="Times New Roman" w:hAnsi="Times New Roman" w:cs="Times New Roman"/>
          <w:sz w:val="24"/>
          <w:szCs w:val="24"/>
        </w:rPr>
        <w:t xml:space="preserve"> the value of the reputation they have built over many years. </w:t>
      </w:r>
      <w:r w:rsidR="002E64F9" w:rsidRPr="006A55D5">
        <w:rPr>
          <w:rFonts w:ascii="Times New Roman" w:hAnsi="Times New Roman" w:cs="Times New Roman"/>
          <w:sz w:val="24"/>
          <w:szCs w:val="24"/>
        </w:rPr>
        <w:t>A freelancer who has completed hundreds of projects should not have to start again from the beginning just because they move to a different platform.</w:t>
      </w:r>
    </w:p>
    <w:p w14:paraId="3E6D60B3" w14:textId="21BFA0B9" w:rsidR="002E64F9" w:rsidRPr="006A55D5" w:rsidRDefault="002E64F9"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At the international level, the ILO has supported the creation of new rules for platform work. A draft Convention was released on 15 August 2025 and the final version is expected to be adopted in 2026 (International Labour Organization, 2025).</w:t>
      </w:r>
    </w:p>
    <w:p w14:paraId="05238514" w14:textId="2B7018BD" w:rsidR="00184625" w:rsidRPr="006A55D5" w:rsidRDefault="00184625"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 xml:space="preserve">The draft includes provisions relating to worker data rights, which may support the future development of reputation </w:t>
      </w:r>
      <w:r w:rsidRPr="006A55D5">
        <w:rPr>
          <w:rFonts w:ascii="Times New Roman" w:hAnsi="Times New Roman" w:cs="Times New Roman"/>
          <w:sz w:val="24"/>
          <w:szCs w:val="24"/>
        </w:rPr>
        <w:t>portability.</w:t>
      </w:r>
      <w:r w:rsidR="00655360" w:rsidRPr="006A55D5">
        <w:rPr>
          <w:rFonts w:ascii="Times New Roman" w:eastAsia="Times New Roman" w:hAnsi="Times New Roman" w:cs="Times New Roman"/>
          <w:kern w:val="0"/>
          <w:sz w:val="24"/>
          <w:szCs w:val="24"/>
          <w:lang w:eastAsia="en-IN"/>
          <w14:ligatures w14:val="none"/>
        </w:rPr>
        <w:t xml:space="preserve"> </w:t>
      </w:r>
      <w:r w:rsidR="00655360" w:rsidRPr="006A55D5">
        <w:rPr>
          <w:rFonts w:ascii="Times New Roman" w:hAnsi="Times New Roman" w:cs="Times New Roman"/>
          <w:sz w:val="24"/>
          <w:szCs w:val="24"/>
        </w:rPr>
        <w:t>If the Convention is adopted, India will have to consider it through its law-making process. This could create an opportunity for future legal reforms in platform work (Fredman et al., 2025).</w:t>
      </w:r>
    </w:p>
    <w:p w14:paraId="0E016020" w14:textId="4BD11225" w:rsidR="00BA2E42" w:rsidRPr="006A55D5" w:rsidRDefault="00BA2E42" w:rsidP="006A55D5">
      <w:pPr>
        <w:spacing w:line="360" w:lineRule="auto"/>
        <w:jc w:val="both"/>
        <w:rPr>
          <w:rFonts w:ascii="Times New Roman" w:hAnsi="Times New Roman" w:cs="Times New Roman"/>
          <w:sz w:val="24"/>
          <w:szCs w:val="24"/>
        </w:rPr>
      </w:pPr>
    </w:p>
    <w:p w14:paraId="65D17667" w14:textId="77777777" w:rsidR="00BA2E42" w:rsidRPr="006A55D5" w:rsidRDefault="00BA2E42" w:rsidP="006A55D5">
      <w:pPr>
        <w:pStyle w:val="Heading1"/>
        <w:jc w:val="both"/>
        <w:rPr>
          <w:rFonts w:ascii="Times New Roman" w:hAnsi="Times New Roman" w:cs="Times New Roman"/>
          <w:b/>
          <w:bCs/>
          <w:color w:val="auto"/>
          <w:sz w:val="24"/>
          <w:szCs w:val="24"/>
        </w:rPr>
      </w:pPr>
      <w:bookmarkStart w:id="4" w:name="_Toc232027449"/>
      <w:r w:rsidRPr="006A55D5">
        <w:rPr>
          <w:rFonts w:ascii="Times New Roman" w:hAnsi="Times New Roman" w:cs="Times New Roman"/>
          <w:b/>
          <w:bCs/>
          <w:color w:val="auto"/>
          <w:sz w:val="24"/>
          <w:szCs w:val="24"/>
        </w:rPr>
        <w:t>5. Conclusion</w:t>
      </w:r>
      <w:bookmarkEnd w:id="4"/>
    </w:p>
    <w:p w14:paraId="2FB831E6" w14:textId="2BD0C372" w:rsidR="00BA2E42" w:rsidRPr="006A55D5" w:rsidRDefault="007F14EF"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India's gig workforce is growing rapidly. It had about 7.7 million workers in 2020</w:t>
      </w:r>
      <w:r w:rsidR="0029194E" w:rsidRPr="006A55D5">
        <w:rPr>
          <w:rFonts w:ascii="Times New Roman" w:hAnsi="Times New Roman" w:cs="Times New Roman"/>
          <w:sz w:val="24"/>
          <w:szCs w:val="24"/>
        </w:rPr>
        <w:t>-</w:t>
      </w:r>
      <w:r w:rsidRPr="006A55D5">
        <w:rPr>
          <w:rFonts w:ascii="Times New Roman" w:hAnsi="Times New Roman" w:cs="Times New Roman"/>
          <w:sz w:val="24"/>
          <w:szCs w:val="24"/>
        </w:rPr>
        <w:t>21 and is expected to reach 23.5 million by 2029</w:t>
      </w:r>
      <w:r w:rsidR="0029194E" w:rsidRPr="006A55D5">
        <w:rPr>
          <w:rFonts w:ascii="Times New Roman" w:hAnsi="Times New Roman" w:cs="Times New Roman"/>
          <w:sz w:val="24"/>
          <w:szCs w:val="24"/>
        </w:rPr>
        <w:t>-</w:t>
      </w:r>
      <w:r w:rsidRPr="006A55D5">
        <w:rPr>
          <w:rFonts w:ascii="Times New Roman" w:hAnsi="Times New Roman" w:cs="Times New Roman"/>
          <w:sz w:val="24"/>
          <w:szCs w:val="24"/>
        </w:rPr>
        <w:t>30 (NITI Aayog, 2022)</w:t>
      </w:r>
      <w:r w:rsidR="0033378E" w:rsidRPr="006A55D5">
        <w:rPr>
          <w:rFonts w:ascii="Times New Roman" w:hAnsi="Times New Roman" w:cs="Times New Roman"/>
          <w:sz w:val="24"/>
          <w:szCs w:val="24"/>
        </w:rPr>
        <w:t xml:space="preserve"> but</w:t>
      </w:r>
      <w:r w:rsidRPr="006A55D5">
        <w:rPr>
          <w:rFonts w:ascii="Times New Roman" w:hAnsi="Times New Roman" w:cs="Times New Roman"/>
          <w:sz w:val="24"/>
          <w:szCs w:val="24"/>
        </w:rPr>
        <w:t xml:space="preserve"> the law is not developing at the same pace. The </w:t>
      </w:r>
      <w:r w:rsidR="006A55D5" w:rsidRPr="006A55D5">
        <w:rPr>
          <w:rFonts w:ascii="Times New Roman" w:hAnsi="Times New Roman" w:cs="Times New Roman"/>
          <w:sz w:val="24"/>
          <w:szCs w:val="24"/>
        </w:rPr>
        <w:t>solopreneur</w:t>
      </w:r>
      <w:r w:rsidRPr="006A55D5">
        <w:rPr>
          <w:rFonts w:ascii="Times New Roman" w:hAnsi="Times New Roman" w:cs="Times New Roman"/>
          <w:sz w:val="24"/>
          <w:szCs w:val="24"/>
        </w:rPr>
        <w:t xml:space="preserve"> revolution is already here.</w:t>
      </w:r>
      <w:r w:rsidR="002B0042" w:rsidRPr="006A55D5">
        <w:rPr>
          <w:rFonts w:ascii="Times New Roman" w:hAnsi="Times New Roman" w:cs="Times New Roman"/>
          <w:sz w:val="24"/>
          <w:szCs w:val="24"/>
        </w:rPr>
        <w:t xml:space="preserve"> </w:t>
      </w:r>
      <w:r w:rsidR="00BA2E42" w:rsidRPr="006A55D5">
        <w:rPr>
          <w:rFonts w:ascii="Times New Roman" w:hAnsi="Times New Roman" w:cs="Times New Roman"/>
          <w:sz w:val="24"/>
          <w:szCs w:val="24"/>
        </w:rPr>
        <w:t>The legal revolution has not.</w:t>
      </w:r>
    </w:p>
    <w:p w14:paraId="485F0E49" w14:textId="09C965DC" w:rsidR="00BA2E42" w:rsidRPr="006A55D5" w:rsidRDefault="00BA2E42"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The Bengaluru developer who lost four years of professional history to a one-line automated email is not an edge case. She is the representative figure of a legal category that existing law has systematically failed to recognise. She is simultaneously dependent subject to platform governance she did not negotiate and cannot contest and entrepreneurial bearing her own risk, managing her own clients, operating her own business. The law has no adequate category for her. It has only the binary of employee and independent contractor, and she is neither.</w:t>
      </w:r>
    </w:p>
    <w:p w14:paraId="01B3D62C" w14:textId="121F5CCB" w:rsidR="00BA2E42" w:rsidRPr="006A55D5" w:rsidRDefault="00BA2E42"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 xml:space="preserve">Karnataka has demonstrated that Indian legislatures can act. Australia has demonstrated that procedural protection need not wait for reclassification. The ILO </w:t>
      </w:r>
      <w:r w:rsidRPr="006A55D5">
        <w:rPr>
          <w:rFonts w:ascii="Times New Roman" w:hAnsi="Times New Roman" w:cs="Times New Roman"/>
          <w:sz w:val="24"/>
          <w:szCs w:val="24"/>
        </w:rPr>
        <w:lastRenderedPageBreak/>
        <w:t>has demonstrated that international standard-setting is underway. What remains is a coherent central framework in India one that extends fair deactivation standards, data portability, and professional reputation portability to all platform-dependent solopreneurs, regardless of how their contracts are labelled.</w:t>
      </w:r>
    </w:p>
    <w:p w14:paraId="13EF5FFC" w14:textId="664B6B95" w:rsidR="00BA2E42" w:rsidRPr="006A55D5" w:rsidRDefault="00BA2E42" w:rsidP="006A55D5">
      <w:pPr>
        <w:spacing w:line="360" w:lineRule="auto"/>
        <w:jc w:val="both"/>
        <w:rPr>
          <w:rFonts w:ascii="Times New Roman" w:hAnsi="Times New Roman" w:cs="Times New Roman"/>
          <w:sz w:val="24"/>
          <w:szCs w:val="24"/>
        </w:rPr>
      </w:pPr>
      <w:r w:rsidRPr="006A55D5">
        <w:rPr>
          <w:rFonts w:ascii="Times New Roman" w:hAnsi="Times New Roman" w:cs="Times New Roman"/>
          <w:sz w:val="24"/>
          <w:szCs w:val="24"/>
        </w:rPr>
        <w:t xml:space="preserve">The </w:t>
      </w:r>
      <w:r w:rsidR="006A55D5" w:rsidRPr="006A55D5">
        <w:rPr>
          <w:rFonts w:ascii="Times New Roman" w:hAnsi="Times New Roman" w:cs="Times New Roman"/>
          <w:sz w:val="24"/>
          <w:szCs w:val="24"/>
        </w:rPr>
        <w:t>solopreneur</w:t>
      </w:r>
      <w:r w:rsidRPr="006A55D5">
        <w:rPr>
          <w:rFonts w:ascii="Times New Roman" w:hAnsi="Times New Roman" w:cs="Times New Roman"/>
          <w:sz w:val="24"/>
          <w:szCs w:val="24"/>
        </w:rPr>
        <w:t xml:space="preserve"> revolution promises freedom. The freedom to enter a platform is real. Until the law recognises an equally protected right to leave one, that freedom is incomplete.</w:t>
      </w:r>
    </w:p>
    <w:sdt>
      <w:sdtPr>
        <w:rPr>
          <w:rFonts w:ascii="Times New Roman" w:eastAsiaTheme="minorHAnsi" w:hAnsi="Times New Roman" w:cs="Times New Roman"/>
          <w:color w:val="auto"/>
          <w:kern w:val="2"/>
          <w:sz w:val="24"/>
          <w:szCs w:val="24"/>
          <w:lang w:val="en-IN"/>
          <w14:ligatures w14:val="standardContextual"/>
        </w:rPr>
        <w:id w:val="-1539419844"/>
        <w:docPartObj>
          <w:docPartGallery w:val="Table of Contents"/>
          <w:docPartUnique/>
        </w:docPartObj>
      </w:sdtPr>
      <w:sdtEndPr>
        <w:rPr>
          <w:b/>
          <w:bCs/>
          <w:noProof/>
        </w:rPr>
      </w:sdtEndPr>
      <w:sdtContent>
        <w:p w14:paraId="651703EB" w14:textId="457A5CA9" w:rsidR="00830895" w:rsidRPr="006A55D5" w:rsidRDefault="00830895" w:rsidP="006A55D5">
          <w:pPr>
            <w:pStyle w:val="TOCHeading"/>
            <w:jc w:val="both"/>
            <w:rPr>
              <w:rFonts w:ascii="Times New Roman" w:hAnsi="Times New Roman" w:cs="Times New Roman"/>
              <w:sz w:val="24"/>
              <w:szCs w:val="24"/>
            </w:rPr>
          </w:pPr>
        </w:p>
        <w:p w14:paraId="3EFE291C" w14:textId="1CA899D7" w:rsidR="00FF10FF" w:rsidRPr="006A55D5" w:rsidRDefault="00FC51C0" w:rsidP="006A55D5">
          <w:pPr>
            <w:jc w:val="both"/>
            <w:rPr>
              <w:rFonts w:ascii="Times New Roman" w:hAnsi="Times New Roman" w:cs="Times New Roman"/>
              <w:b/>
              <w:bCs/>
              <w:sz w:val="24"/>
              <w:szCs w:val="24"/>
            </w:rPr>
          </w:pPr>
          <w:r w:rsidRPr="006A55D5">
            <w:rPr>
              <w:rFonts w:ascii="Times New Roman" w:hAnsi="Times New Roman" w:cs="Times New Roman"/>
              <w:b/>
              <w:bCs/>
              <w:sz w:val="24"/>
              <w:szCs w:val="24"/>
            </w:rPr>
            <w:t>References</w:t>
          </w:r>
        </w:p>
      </w:sdtContent>
    </w:sdt>
    <w:p w14:paraId="0A2CDC58" w14:textId="77777777" w:rsidR="00537FEC" w:rsidRPr="006A55D5" w:rsidRDefault="00537FEC" w:rsidP="006A55D5">
      <w:pPr>
        <w:pStyle w:val="ListParagraph"/>
        <w:numPr>
          <w:ilvl w:val="0"/>
          <w:numId w:val="2"/>
        </w:numPr>
        <w:jc w:val="both"/>
        <w:rPr>
          <w:rFonts w:ascii="Times New Roman" w:hAnsi="Times New Roman" w:cs="Times New Roman"/>
          <w:sz w:val="24"/>
          <w:szCs w:val="24"/>
        </w:rPr>
      </w:pPr>
      <w:r w:rsidRPr="006A55D5">
        <w:rPr>
          <w:rFonts w:ascii="Times New Roman" w:hAnsi="Times New Roman" w:cs="Times New Roman"/>
          <w:sz w:val="24"/>
          <w:szCs w:val="24"/>
        </w:rPr>
        <w:t>Adams-Prassl, J. (2022). Uber BV v Aslam: '[W]ork relations … cannot safely be left to contractual regulation.' Industrial Law Journal, 51(4), 955–966. https://doi.org/10.1093/indlaw/dwac027</w:t>
      </w:r>
    </w:p>
    <w:p w14:paraId="507E4466" w14:textId="77777777" w:rsidR="00537FEC" w:rsidRPr="006A55D5" w:rsidRDefault="00537FEC" w:rsidP="006A55D5">
      <w:pPr>
        <w:pStyle w:val="ListParagraph"/>
        <w:numPr>
          <w:ilvl w:val="0"/>
          <w:numId w:val="2"/>
        </w:numPr>
        <w:jc w:val="both"/>
        <w:rPr>
          <w:rFonts w:ascii="Times New Roman" w:hAnsi="Times New Roman" w:cs="Times New Roman"/>
          <w:sz w:val="24"/>
          <w:szCs w:val="24"/>
        </w:rPr>
      </w:pPr>
      <w:r w:rsidRPr="006A55D5">
        <w:rPr>
          <w:rFonts w:ascii="Times New Roman" w:hAnsi="Times New Roman" w:cs="Times New Roman"/>
          <w:sz w:val="24"/>
          <w:szCs w:val="24"/>
        </w:rPr>
        <w:t>Code on Social Security, No. 36 of 2020 (India). (2020). https://www.indiacode.nic.in/bitstream/123456789/16823/1/aA2020-36.pdf</w:t>
      </w:r>
    </w:p>
    <w:p w14:paraId="1241822B" w14:textId="77777777" w:rsidR="00537FEC" w:rsidRPr="006A55D5" w:rsidRDefault="00537FEC" w:rsidP="006A55D5">
      <w:pPr>
        <w:pStyle w:val="ListParagraph"/>
        <w:numPr>
          <w:ilvl w:val="0"/>
          <w:numId w:val="2"/>
        </w:numPr>
        <w:jc w:val="both"/>
        <w:rPr>
          <w:rFonts w:ascii="Times New Roman" w:hAnsi="Times New Roman" w:cs="Times New Roman"/>
          <w:sz w:val="24"/>
          <w:szCs w:val="24"/>
        </w:rPr>
      </w:pPr>
      <w:r w:rsidRPr="006A55D5">
        <w:rPr>
          <w:rFonts w:ascii="Times New Roman" w:hAnsi="Times New Roman" w:cs="Times New Roman"/>
          <w:sz w:val="24"/>
          <w:szCs w:val="24"/>
        </w:rPr>
        <w:t>Digital Personal Data Protection Act, No. 22 of 2023 (India). (2023). https://www.indiacode.nic.in/bitstream/123456789/22037/1/a2023-22.pdf</w:t>
      </w:r>
    </w:p>
    <w:p w14:paraId="1E8FB26C" w14:textId="77777777" w:rsidR="00537FEC" w:rsidRPr="006A55D5" w:rsidRDefault="00537FEC" w:rsidP="006A55D5">
      <w:pPr>
        <w:pStyle w:val="ListParagraph"/>
        <w:numPr>
          <w:ilvl w:val="0"/>
          <w:numId w:val="2"/>
        </w:numPr>
        <w:jc w:val="both"/>
        <w:rPr>
          <w:rFonts w:ascii="Times New Roman" w:hAnsi="Times New Roman" w:cs="Times New Roman"/>
          <w:sz w:val="24"/>
          <w:szCs w:val="24"/>
        </w:rPr>
      </w:pPr>
      <w:r w:rsidRPr="006A55D5">
        <w:rPr>
          <w:rFonts w:ascii="Times New Roman" w:hAnsi="Times New Roman" w:cs="Times New Roman"/>
          <w:sz w:val="24"/>
          <w:szCs w:val="24"/>
        </w:rPr>
        <w:t>European Parliament and Council. (2023). Regulation (EU) 2023/2854 on harmonised rules on fair access to and use of data (Data Act). Official Journal of the European Union. https://eur-lex.europa.eu/legal-content/EN/TXT/?uri=CELEX%3A32023R2854</w:t>
      </w:r>
    </w:p>
    <w:p w14:paraId="3BDB8C24" w14:textId="77777777" w:rsidR="00537FEC" w:rsidRPr="006A55D5" w:rsidRDefault="00537FEC" w:rsidP="006A55D5">
      <w:pPr>
        <w:pStyle w:val="ListParagraph"/>
        <w:numPr>
          <w:ilvl w:val="0"/>
          <w:numId w:val="2"/>
        </w:numPr>
        <w:jc w:val="both"/>
        <w:rPr>
          <w:rFonts w:ascii="Times New Roman" w:hAnsi="Times New Roman" w:cs="Times New Roman"/>
          <w:sz w:val="24"/>
          <w:szCs w:val="24"/>
        </w:rPr>
      </w:pPr>
      <w:r w:rsidRPr="006A55D5">
        <w:rPr>
          <w:rFonts w:ascii="Times New Roman" w:hAnsi="Times New Roman" w:cs="Times New Roman"/>
          <w:sz w:val="24"/>
          <w:szCs w:val="24"/>
        </w:rPr>
        <w:t xml:space="preserve">Fair Work Commission. (2025). Fair Work (Digital Labour Platform </w:t>
      </w:r>
      <w:r w:rsidRPr="006A55D5">
        <w:rPr>
          <w:rFonts w:ascii="Times New Roman" w:hAnsi="Times New Roman" w:cs="Times New Roman"/>
          <w:sz w:val="24"/>
          <w:szCs w:val="24"/>
        </w:rPr>
        <w:t>Deactivation Code) Instrument 2024. Australian Government. https://www.legislation.gov.au/F2024L01573/asmade/text</w:t>
      </w:r>
    </w:p>
    <w:p w14:paraId="193A6747" w14:textId="77777777" w:rsidR="00537FEC" w:rsidRPr="006A55D5" w:rsidRDefault="00537FEC" w:rsidP="006A55D5">
      <w:pPr>
        <w:pStyle w:val="ListParagraph"/>
        <w:numPr>
          <w:ilvl w:val="0"/>
          <w:numId w:val="2"/>
        </w:numPr>
        <w:jc w:val="both"/>
        <w:rPr>
          <w:rFonts w:ascii="Times New Roman" w:hAnsi="Times New Roman" w:cs="Times New Roman"/>
          <w:sz w:val="24"/>
          <w:szCs w:val="24"/>
        </w:rPr>
      </w:pPr>
      <w:r w:rsidRPr="006A55D5">
        <w:rPr>
          <w:rFonts w:ascii="Times New Roman" w:hAnsi="Times New Roman" w:cs="Times New Roman"/>
          <w:sz w:val="24"/>
          <w:szCs w:val="24"/>
        </w:rPr>
        <w:t>Fredman, S., Du Toit, D., Bertolini, A., Valente, J., &amp; Graham, M. (2025). Fair work for platform workers: Lessons from the EU Directive and beyond. Industrial Law Journal, 54(3), 425–457. https://doi.org/10.1093/indlaw/dwaf018</w:t>
      </w:r>
    </w:p>
    <w:p w14:paraId="554A45BF" w14:textId="17A59B0A" w:rsidR="00537FEC" w:rsidRPr="006A55D5" w:rsidRDefault="00537FEC" w:rsidP="006A55D5">
      <w:pPr>
        <w:pStyle w:val="ListParagraph"/>
        <w:numPr>
          <w:ilvl w:val="0"/>
          <w:numId w:val="2"/>
        </w:numPr>
        <w:jc w:val="both"/>
        <w:rPr>
          <w:rFonts w:ascii="Times New Roman" w:hAnsi="Times New Roman" w:cs="Times New Roman"/>
          <w:sz w:val="24"/>
          <w:szCs w:val="24"/>
        </w:rPr>
      </w:pPr>
      <w:r w:rsidRPr="006A55D5">
        <w:rPr>
          <w:rFonts w:ascii="Times New Roman" w:hAnsi="Times New Roman" w:cs="Times New Roman"/>
          <w:sz w:val="24"/>
          <w:szCs w:val="24"/>
        </w:rPr>
        <w:t xml:space="preserve">International Labour Organization. (2025, August 15). Realizing decent work in the platform economy: Draft Convention and Recommendation (ILC.114/Report </w:t>
      </w:r>
      <w:r w:rsidR="006A55D5" w:rsidRPr="006A55D5">
        <w:rPr>
          <w:rFonts w:ascii="Times New Roman" w:hAnsi="Times New Roman" w:cs="Times New Roman"/>
          <w:sz w:val="24"/>
          <w:szCs w:val="24"/>
        </w:rPr>
        <w:t>V (</w:t>
      </w:r>
      <w:r w:rsidRPr="006A55D5">
        <w:rPr>
          <w:rFonts w:ascii="Times New Roman" w:hAnsi="Times New Roman" w:cs="Times New Roman"/>
          <w:sz w:val="24"/>
          <w:szCs w:val="24"/>
        </w:rPr>
        <w:t>3)). https://www.ilo.org/resource/conference-paper/ilc/ilc114/realizing-decent-work-platform-economy-draft-convention-and-recommendation</w:t>
      </w:r>
    </w:p>
    <w:p w14:paraId="4FBFB1D8" w14:textId="77777777" w:rsidR="00537FEC" w:rsidRPr="006A55D5" w:rsidRDefault="00537FEC" w:rsidP="006A55D5">
      <w:pPr>
        <w:pStyle w:val="ListParagraph"/>
        <w:numPr>
          <w:ilvl w:val="0"/>
          <w:numId w:val="2"/>
        </w:numPr>
        <w:jc w:val="both"/>
        <w:rPr>
          <w:rFonts w:ascii="Times New Roman" w:hAnsi="Times New Roman" w:cs="Times New Roman"/>
          <w:sz w:val="24"/>
          <w:szCs w:val="24"/>
        </w:rPr>
      </w:pPr>
      <w:r w:rsidRPr="006A55D5">
        <w:rPr>
          <w:rFonts w:ascii="Times New Roman" w:hAnsi="Times New Roman" w:cs="Times New Roman"/>
          <w:sz w:val="24"/>
          <w:szCs w:val="24"/>
        </w:rPr>
        <w:t>Karnataka Platform-Based Gig Workers (Social Security and Welfare) Act, Karnataka Act No. 72 of 2025 (India). (2025). https://prsindia.org/files/bills_acts/acts_states/karnataka/2025/Act72of2025KA.pdf</w:t>
      </w:r>
    </w:p>
    <w:p w14:paraId="2F3C65C0" w14:textId="77777777" w:rsidR="00537FEC" w:rsidRPr="006A55D5" w:rsidRDefault="00537FEC" w:rsidP="006A55D5">
      <w:pPr>
        <w:pStyle w:val="ListParagraph"/>
        <w:numPr>
          <w:ilvl w:val="0"/>
          <w:numId w:val="2"/>
        </w:numPr>
        <w:jc w:val="both"/>
        <w:rPr>
          <w:rFonts w:ascii="Times New Roman" w:hAnsi="Times New Roman" w:cs="Times New Roman"/>
          <w:sz w:val="24"/>
          <w:szCs w:val="24"/>
        </w:rPr>
      </w:pPr>
      <w:r w:rsidRPr="006A55D5">
        <w:rPr>
          <w:rFonts w:ascii="Times New Roman" w:hAnsi="Times New Roman" w:cs="Times New Roman"/>
          <w:sz w:val="24"/>
          <w:szCs w:val="24"/>
        </w:rPr>
        <w:t>Medianama. (2025, November 24). Gig workers now recognised within India's labour codes. https://www.medianama.com/2025/11/223-gig-workers-labour-codes-india/</w:t>
      </w:r>
    </w:p>
    <w:p w14:paraId="400A8617" w14:textId="77777777" w:rsidR="00537FEC" w:rsidRPr="006A55D5" w:rsidRDefault="00537FEC" w:rsidP="006A55D5">
      <w:pPr>
        <w:pStyle w:val="ListParagraph"/>
        <w:numPr>
          <w:ilvl w:val="0"/>
          <w:numId w:val="2"/>
        </w:numPr>
        <w:jc w:val="both"/>
        <w:rPr>
          <w:rFonts w:ascii="Times New Roman" w:hAnsi="Times New Roman" w:cs="Times New Roman"/>
          <w:sz w:val="24"/>
          <w:szCs w:val="24"/>
        </w:rPr>
      </w:pPr>
      <w:r w:rsidRPr="006A55D5">
        <w:rPr>
          <w:rFonts w:ascii="Times New Roman" w:hAnsi="Times New Roman" w:cs="Times New Roman"/>
          <w:sz w:val="24"/>
          <w:szCs w:val="24"/>
        </w:rPr>
        <w:t>Mondaq. (2025, September). Freelancing in India: Mapping and analysing the gig workforce. https://www.mondaq.com/india/employee-rights-labour-relations/1673336</w:t>
      </w:r>
    </w:p>
    <w:p w14:paraId="2B1615CF" w14:textId="77777777" w:rsidR="00537FEC" w:rsidRPr="006A55D5" w:rsidRDefault="00537FEC" w:rsidP="006A55D5">
      <w:pPr>
        <w:pStyle w:val="ListParagraph"/>
        <w:numPr>
          <w:ilvl w:val="0"/>
          <w:numId w:val="2"/>
        </w:numPr>
        <w:jc w:val="both"/>
        <w:rPr>
          <w:rFonts w:ascii="Times New Roman" w:hAnsi="Times New Roman" w:cs="Times New Roman"/>
          <w:sz w:val="24"/>
          <w:szCs w:val="24"/>
        </w:rPr>
      </w:pPr>
      <w:r w:rsidRPr="006A55D5">
        <w:rPr>
          <w:rFonts w:ascii="Times New Roman" w:hAnsi="Times New Roman" w:cs="Times New Roman"/>
          <w:sz w:val="24"/>
          <w:szCs w:val="24"/>
        </w:rPr>
        <w:t>NITI Aayog. (2022). India's booming gig and platform economy: Perspectives and recommendations on the future of work. Government of India. https://www.niti.gov.in/sites/default/files/2022-06/25th_June_Final_Report_27062022.pdf</w:t>
      </w:r>
    </w:p>
    <w:p w14:paraId="73355B07" w14:textId="77777777" w:rsidR="00537FEC" w:rsidRPr="006A55D5" w:rsidRDefault="00537FEC" w:rsidP="006A55D5">
      <w:pPr>
        <w:pStyle w:val="ListParagraph"/>
        <w:numPr>
          <w:ilvl w:val="0"/>
          <w:numId w:val="2"/>
        </w:numPr>
        <w:jc w:val="both"/>
        <w:rPr>
          <w:rFonts w:ascii="Times New Roman" w:hAnsi="Times New Roman" w:cs="Times New Roman"/>
          <w:sz w:val="24"/>
          <w:szCs w:val="24"/>
        </w:rPr>
      </w:pPr>
      <w:r w:rsidRPr="006A55D5">
        <w:rPr>
          <w:rFonts w:ascii="Times New Roman" w:hAnsi="Times New Roman" w:cs="Times New Roman"/>
          <w:sz w:val="24"/>
          <w:szCs w:val="24"/>
        </w:rPr>
        <w:lastRenderedPageBreak/>
        <w:t>Press Information Bureau, Government of India. (2025, December 9). Labour reforms: Formalising and safeguarding India's gig and platform workforce. https://www.pib.gov.in/PressReleaseIframePage.aspx?PRID=2094268</w:t>
      </w:r>
    </w:p>
    <w:p w14:paraId="550FEC87" w14:textId="77777777" w:rsidR="00537FEC" w:rsidRPr="006A55D5" w:rsidRDefault="00537FEC" w:rsidP="006A55D5">
      <w:pPr>
        <w:pStyle w:val="ListParagraph"/>
        <w:numPr>
          <w:ilvl w:val="0"/>
          <w:numId w:val="2"/>
        </w:numPr>
        <w:jc w:val="both"/>
        <w:rPr>
          <w:rFonts w:ascii="Times New Roman" w:hAnsi="Times New Roman" w:cs="Times New Roman"/>
          <w:sz w:val="24"/>
          <w:szCs w:val="24"/>
        </w:rPr>
      </w:pPr>
      <w:r w:rsidRPr="006A55D5">
        <w:rPr>
          <w:rFonts w:ascii="Times New Roman" w:hAnsi="Times New Roman" w:cs="Times New Roman"/>
          <w:sz w:val="24"/>
          <w:szCs w:val="24"/>
        </w:rPr>
        <w:t>Uber BV &amp; Ors v Aslam &amp; Ors [2021] UKSC 5. (2021). https://www.bailii.org/uk/cases/UKSC/2021/5.html</w:t>
      </w:r>
    </w:p>
    <w:p w14:paraId="129A76E8" w14:textId="77777777" w:rsidR="00346749" w:rsidRPr="006A55D5" w:rsidRDefault="00346749" w:rsidP="006A55D5">
      <w:pPr>
        <w:spacing w:line="360" w:lineRule="auto"/>
        <w:jc w:val="both"/>
        <w:rPr>
          <w:rFonts w:ascii="Times New Roman" w:hAnsi="Times New Roman" w:cs="Times New Roman"/>
          <w:sz w:val="24"/>
          <w:szCs w:val="24"/>
        </w:rPr>
        <w:sectPr w:rsidR="00346749" w:rsidRPr="006A55D5" w:rsidSect="00346749">
          <w:type w:val="continuous"/>
          <w:pgSz w:w="11906" w:h="16838"/>
          <w:pgMar w:top="1440" w:right="1440" w:bottom="1440" w:left="1440" w:header="283" w:footer="850" w:gutter="0"/>
          <w:cols w:num="2" w:space="708"/>
          <w:titlePg/>
          <w:docGrid w:linePitch="360"/>
        </w:sectPr>
      </w:pPr>
    </w:p>
    <w:p w14:paraId="33EBBBA9" w14:textId="77777777" w:rsidR="00F37E9B" w:rsidRPr="006A55D5" w:rsidRDefault="00F37E9B" w:rsidP="006A55D5">
      <w:pPr>
        <w:spacing w:line="360" w:lineRule="auto"/>
        <w:jc w:val="both"/>
        <w:rPr>
          <w:rFonts w:ascii="Times New Roman" w:hAnsi="Times New Roman" w:cs="Times New Roman"/>
          <w:sz w:val="24"/>
          <w:szCs w:val="24"/>
        </w:rPr>
      </w:pPr>
    </w:p>
    <w:sectPr w:rsidR="00F37E9B" w:rsidRPr="006A55D5" w:rsidSect="00346749">
      <w:type w:val="continuous"/>
      <w:pgSz w:w="11906" w:h="16838"/>
      <w:pgMar w:top="1440" w:right="1440" w:bottom="1440" w:left="1440" w:header="283"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1D02" w14:textId="77777777" w:rsidR="00386247" w:rsidRDefault="00386247" w:rsidP="00394C10">
      <w:pPr>
        <w:spacing w:after="0" w:line="240" w:lineRule="auto"/>
      </w:pPr>
      <w:r>
        <w:separator/>
      </w:r>
    </w:p>
  </w:endnote>
  <w:endnote w:type="continuationSeparator" w:id="0">
    <w:p w14:paraId="237182D7" w14:textId="77777777" w:rsidR="00386247" w:rsidRDefault="00386247" w:rsidP="00394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97FF" w14:textId="221C7E00" w:rsidR="00346749" w:rsidRPr="00346749" w:rsidRDefault="00346749" w:rsidP="00346749">
    <w:pPr>
      <w:pStyle w:val="Footer"/>
      <w:pBdr>
        <w:top w:val="single" w:sz="4" w:space="8" w:color="auto"/>
      </w:pBdr>
      <w:tabs>
        <w:tab w:val="clear" w:pos="9026"/>
      </w:tabs>
      <w:spacing w:before="80" w:after="120"/>
      <w:jc w:val="center"/>
      <w:rPr>
        <w:rFonts w:ascii="Georgia" w:hAnsi="Georgia"/>
        <w:color w:val="002060"/>
        <w:sz w:val="13"/>
        <w:szCs w:val="10"/>
      </w:rPr>
    </w:pPr>
    <w:r w:rsidRPr="00801AF9">
      <w:rPr>
        <w:rFonts w:ascii="Georgia" w:hAnsi="Georgia"/>
        <w:i/>
        <w:iCs/>
        <w:color w:val="002060"/>
        <w:sz w:val="13"/>
        <w:szCs w:val="10"/>
      </w:rPr>
      <w:t xml:space="preserve">Replication or other unauthorized use of this material is prohibited by the copyright laws of India | </w:t>
    </w:r>
    <w:r w:rsidRPr="00801AF9">
      <w:rPr>
        <w:rFonts w:ascii="Georgia" w:hAnsi="Georgia"/>
        <w:color w:val="002060"/>
        <w:sz w:val="13"/>
        <w:szCs w:val="12"/>
      </w:rPr>
      <w:t>© Journal of Start Up Innovation and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8822E" w14:textId="77777777" w:rsidR="00386247" w:rsidRDefault="00386247" w:rsidP="00394C10">
      <w:pPr>
        <w:spacing w:after="0" w:line="240" w:lineRule="auto"/>
      </w:pPr>
      <w:r>
        <w:separator/>
      </w:r>
    </w:p>
  </w:footnote>
  <w:footnote w:type="continuationSeparator" w:id="0">
    <w:p w14:paraId="56C33330" w14:textId="77777777" w:rsidR="00386247" w:rsidRDefault="00386247" w:rsidP="00394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844137146"/>
      <w:docPartObj>
        <w:docPartGallery w:val="Page Numbers (Top of Page)"/>
        <w:docPartUnique/>
      </w:docPartObj>
    </w:sdtPr>
    <w:sdtEndPr>
      <w:rPr>
        <w:b/>
        <w:bCs/>
        <w:noProof/>
        <w:color w:val="auto"/>
        <w:spacing w:val="0"/>
      </w:rPr>
    </w:sdtEndPr>
    <w:sdtContent>
      <w:p w14:paraId="4392BCFC" w14:textId="07245DA0" w:rsidR="00346749" w:rsidRDefault="0034674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D248E19" w14:textId="139DE028" w:rsidR="00346749" w:rsidRPr="00346749" w:rsidRDefault="00346749" w:rsidP="00346749">
    <w:pPr>
      <w:pStyle w:val="Header"/>
      <w:pBdr>
        <w:bottom w:val="single" w:sz="4" w:space="6" w:color="auto"/>
      </w:pBdr>
      <w:ind w:right="-24"/>
      <w:jc w:val="center"/>
      <w:rPr>
        <w:rFonts w:cs="Times New Roman"/>
        <w:sz w:val="18"/>
        <w:szCs w:val="18"/>
        <w:lang w:val="en-US" w:eastAsia="zh-TW"/>
      </w:rPr>
    </w:pPr>
    <w:r>
      <w:rPr>
        <w:rStyle w:val="PageNumber"/>
        <w:rFonts w:ascii="Georgia" w:hAnsi="Georgia"/>
        <w:sz w:val="18"/>
        <w:szCs w:val="18"/>
        <w:lang w:val="en-US"/>
      </w:rPr>
      <w:t>Journal of Start Up Innovation and Management</w:t>
    </w:r>
    <w:r w:rsidRPr="00631DAB">
      <w:rPr>
        <w:rStyle w:val="PageNumber"/>
        <w:rFonts w:ascii="Georgia" w:hAnsi="Georgia"/>
        <w:sz w:val="18"/>
        <w:szCs w:val="18"/>
        <w:lang w:val="en-US"/>
      </w:rPr>
      <w:t xml:space="preserve"> | Volume I</w:t>
    </w:r>
    <w:r w:rsidR="00F535DA">
      <w:rPr>
        <w:rStyle w:val="PageNumber"/>
        <w:rFonts w:ascii="Georgia" w:hAnsi="Georgia"/>
        <w:sz w:val="18"/>
        <w:szCs w:val="18"/>
        <w:lang w:val="en-US"/>
      </w:rPr>
      <w:t>I</w:t>
    </w:r>
    <w:r w:rsidRPr="00631DAB">
      <w:rPr>
        <w:rStyle w:val="PageNumber"/>
        <w:rFonts w:ascii="Georgia" w:hAnsi="Georgia"/>
        <w:sz w:val="18"/>
        <w:szCs w:val="18"/>
        <w:lang w:val="en-US"/>
      </w:rPr>
      <w:t xml:space="preserve"> Issue </w:t>
    </w:r>
    <w:r w:rsidR="00F535DA">
      <w:rPr>
        <w:rStyle w:val="PageNumber"/>
        <w:rFonts w:ascii="Georgia" w:hAnsi="Georgia"/>
        <w:sz w:val="18"/>
        <w:szCs w:val="18"/>
        <w:lang w:val="en-US"/>
      </w:rPr>
      <w:t>III</w:t>
    </w:r>
    <w:r>
      <w:rPr>
        <w:rStyle w:val="PageNumber"/>
        <w:rFonts w:ascii="Georgia" w:hAnsi="Georgia"/>
        <w:sz w:val="18"/>
        <w:szCs w:val="18"/>
        <w:lang w:val="en-US"/>
      </w:rPr>
      <w:t xml:space="preserve"> | </w:t>
    </w:r>
    <w:r w:rsidR="0001220A">
      <w:rPr>
        <w:rStyle w:val="PageNumber"/>
        <w:rFonts w:ascii="Georgia" w:hAnsi="Georgia"/>
        <w:sz w:val="18"/>
        <w:szCs w:val="18"/>
        <w:lang w:val="en-US"/>
      </w:rPr>
      <w:t>June</w:t>
    </w:r>
    <w:r>
      <w:rPr>
        <w:rStyle w:val="PageNumber"/>
        <w:rFonts w:ascii="Georgia" w:hAnsi="Georgia"/>
        <w:sz w:val="18"/>
        <w:szCs w:val="18"/>
        <w:lang w:val="en-US"/>
      </w:rPr>
      <w:t xml:space="preserve"> 202</w:t>
    </w:r>
    <w:r w:rsidR="0001220A">
      <w:rPr>
        <w:rStyle w:val="PageNumber"/>
        <w:rFonts w:ascii="Georgia" w:hAnsi="Georgia"/>
        <w:sz w:val="18"/>
        <w:szCs w:val="18"/>
        <w:lang w:val="en-US"/>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A23B" w14:textId="77777777" w:rsidR="00394C10" w:rsidRPr="000261F1" w:rsidRDefault="00394C10" w:rsidP="00394C10">
    <w:pPr>
      <w:ind w:right="-755"/>
      <w:rPr>
        <w:rFonts w:ascii="Georgia" w:eastAsia="Times New Roman" w:hAnsi="Georgia" w:cs="Times New Roman"/>
        <w:lang w:eastAsia="en-GB"/>
      </w:rPr>
    </w:pPr>
    <w:r w:rsidRPr="00B52595">
      <w:rPr>
        <w:rFonts w:ascii="Georgia" w:hAnsi="Georgia"/>
        <w:noProof/>
      </w:rPr>
      <mc:AlternateContent>
        <mc:Choice Requires="wps">
          <w:drawing>
            <wp:anchor distT="0" distB="0" distL="114300" distR="114300" simplePos="0" relativeHeight="251659264" behindDoc="0" locked="0" layoutInCell="1" allowOverlap="1" wp14:anchorId="3C729038" wp14:editId="784E67DC">
              <wp:simplePos x="0" y="0"/>
              <wp:positionH relativeFrom="margin">
                <wp:align>right</wp:align>
              </wp:positionH>
              <wp:positionV relativeFrom="paragraph">
                <wp:posOffset>13558</wp:posOffset>
              </wp:positionV>
              <wp:extent cx="4333875" cy="1206500"/>
              <wp:effectExtent l="0" t="0" r="9525" b="0"/>
              <wp:wrapNone/>
              <wp:docPr id="1512333199" name="Text Box 1"/>
              <wp:cNvGraphicFramePr/>
              <a:graphic xmlns:a="http://schemas.openxmlformats.org/drawingml/2006/main">
                <a:graphicData uri="http://schemas.microsoft.com/office/word/2010/wordprocessingShape">
                  <wps:wsp>
                    <wps:cNvSpPr txBox="1"/>
                    <wps:spPr>
                      <a:xfrm>
                        <a:off x="0" y="0"/>
                        <a:ext cx="4334494" cy="1206500"/>
                      </a:xfrm>
                      <a:prstGeom prst="rect">
                        <a:avLst/>
                      </a:prstGeom>
                      <a:solidFill>
                        <a:schemeClr val="lt1"/>
                      </a:solidFill>
                      <a:ln w="6350">
                        <a:noFill/>
                      </a:ln>
                    </wps:spPr>
                    <wps:txbx>
                      <w:txbxContent>
                        <w:p w14:paraId="20600FE7" w14:textId="77777777" w:rsidR="00394C10" w:rsidRPr="000261F1" w:rsidRDefault="00394C10" w:rsidP="00F535DA">
                          <w:pPr>
                            <w:spacing w:line="240" w:lineRule="auto"/>
                            <w:rPr>
                              <w:rFonts w:ascii="Georgia" w:hAnsi="Georgia"/>
                              <w:i/>
                              <w:iCs/>
                              <w:color w:val="002060"/>
                              <w:sz w:val="28"/>
                              <w:szCs w:val="26"/>
                              <w:vertAlign w:val="superscript"/>
                              <w:lang w:val="en-US"/>
                            </w:rPr>
                          </w:pPr>
                          <w:r w:rsidRPr="000261F1">
                            <w:rPr>
                              <w:rFonts w:ascii="Georgia" w:hAnsi="Georgia"/>
                              <w:b/>
                              <w:bCs/>
                              <w:color w:val="002060"/>
                              <w:sz w:val="28"/>
                              <w:szCs w:val="26"/>
                              <w:vertAlign w:val="superscript"/>
                              <w:lang w:val="en-US"/>
                            </w:rPr>
                            <w:t>Journal of Start Up Innovation and Management</w:t>
                          </w:r>
                        </w:p>
                        <w:p w14:paraId="0977E0DE" w14:textId="35A0F9D4" w:rsidR="00394C10" w:rsidRPr="00F535DA" w:rsidRDefault="00394C10" w:rsidP="00F535DA">
                          <w:pPr>
                            <w:spacing w:before="80" w:line="240" w:lineRule="auto"/>
                            <w:jc w:val="both"/>
                            <w:rPr>
                              <w:rFonts w:ascii="Georgia" w:hAnsi="Georgia"/>
                              <w:sz w:val="20"/>
                              <w:szCs w:val="18"/>
                              <w:vertAlign w:val="superscript"/>
                            </w:rPr>
                          </w:pPr>
                          <w:r w:rsidRPr="000261F1">
                            <w:rPr>
                              <w:rFonts w:ascii="Georgia" w:hAnsi="Georgia"/>
                              <w:sz w:val="20"/>
                              <w:szCs w:val="18"/>
                              <w:vertAlign w:val="superscript"/>
                              <w:lang w:val="en-US"/>
                            </w:rPr>
                            <w:t>Volume I</w:t>
                          </w:r>
                          <w:r w:rsidR="0092413A">
                            <w:rPr>
                              <w:rFonts w:ascii="Georgia" w:hAnsi="Georgia"/>
                              <w:sz w:val="20"/>
                              <w:szCs w:val="18"/>
                              <w:vertAlign w:val="superscript"/>
                              <w:lang w:val="en-US"/>
                            </w:rPr>
                            <w:t>I</w:t>
                          </w:r>
                          <w:r w:rsidRPr="000261F1">
                            <w:rPr>
                              <w:rFonts w:ascii="Georgia" w:hAnsi="Georgia"/>
                              <w:sz w:val="20"/>
                              <w:szCs w:val="18"/>
                              <w:vertAlign w:val="superscript"/>
                              <w:lang w:val="en-US"/>
                            </w:rPr>
                            <w:t xml:space="preserve"> </w:t>
                          </w:r>
                          <w:r w:rsidRPr="000261F1">
                            <w:rPr>
                              <w:rFonts w:ascii="Georgia" w:hAnsi="Georgia"/>
                              <w:sz w:val="20"/>
                              <w:szCs w:val="18"/>
                              <w:vertAlign w:val="superscript"/>
                            </w:rPr>
                            <w:t xml:space="preserve">– </w:t>
                          </w:r>
                          <w:r w:rsidRPr="000261F1">
                            <w:rPr>
                              <w:rFonts w:ascii="Georgia" w:hAnsi="Georgia"/>
                              <w:sz w:val="20"/>
                              <w:szCs w:val="18"/>
                              <w:vertAlign w:val="superscript"/>
                              <w:lang w:val="en-US"/>
                            </w:rPr>
                            <w:t xml:space="preserve">Issue </w:t>
                          </w:r>
                          <w:r w:rsidR="0092413A">
                            <w:rPr>
                              <w:rFonts w:ascii="Georgia" w:hAnsi="Georgia"/>
                              <w:sz w:val="20"/>
                              <w:szCs w:val="18"/>
                              <w:vertAlign w:val="superscript"/>
                              <w:lang w:val="en-US"/>
                            </w:rPr>
                            <w:t>II</w:t>
                          </w:r>
                          <w:r w:rsidRPr="000261F1">
                            <w:rPr>
                              <w:rFonts w:ascii="Georgia" w:hAnsi="Georgia"/>
                              <w:sz w:val="20"/>
                              <w:szCs w:val="18"/>
                              <w:vertAlign w:val="superscript"/>
                              <w:lang w:val="en-US"/>
                            </w:rPr>
                            <w:t>I | Copyright © JSIM</w:t>
                          </w:r>
                        </w:p>
                        <w:p w14:paraId="56FA4ED5" w14:textId="77777777" w:rsidR="00394C10" w:rsidRPr="000261F1" w:rsidRDefault="00394C10" w:rsidP="00F535DA">
                          <w:pPr>
                            <w:spacing w:line="240" w:lineRule="auto"/>
                            <w:jc w:val="both"/>
                            <w:rPr>
                              <w:rFonts w:ascii="Georgia" w:hAnsi="Georgia"/>
                              <w:sz w:val="15"/>
                              <w:szCs w:val="12"/>
                              <w:vertAlign w:val="superscript"/>
                              <w:lang w:val="en-US"/>
                            </w:rPr>
                          </w:pPr>
                          <w:r w:rsidRPr="000261F1">
                            <w:rPr>
                              <w:rFonts w:ascii="Georgia" w:hAnsi="Georgia"/>
                              <w:sz w:val="15"/>
                              <w:szCs w:val="12"/>
                              <w:vertAlign w:val="superscript"/>
                              <w:lang w:val="en-US"/>
                            </w:rPr>
                            <w:t>Contact: contact@jsim.in | www.jsim.in</w:t>
                          </w:r>
                        </w:p>
                        <w:p w14:paraId="6938138E" w14:textId="77777777" w:rsidR="00394C10" w:rsidRPr="000261F1" w:rsidRDefault="00394C10" w:rsidP="00F535DA">
                          <w:pPr>
                            <w:spacing w:line="240" w:lineRule="auto"/>
                            <w:jc w:val="both"/>
                            <w:rPr>
                              <w:rFonts w:ascii="Georgia" w:hAnsi="Georgia"/>
                              <w:sz w:val="15"/>
                              <w:szCs w:val="12"/>
                              <w:vertAlign w:val="superscript"/>
                              <w:lang w:val="en-US"/>
                            </w:rPr>
                          </w:pPr>
                          <w:r w:rsidRPr="000261F1">
                            <w:rPr>
                              <w:rFonts w:ascii="Georgia" w:hAnsi="Georgia"/>
                              <w:sz w:val="15"/>
                              <w:szCs w:val="12"/>
                              <w:vertAlign w:val="superscript"/>
                              <w:lang w:val="en-US"/>
                            </w:rPr>
                            <w:t xml:space="preserve">This is an Open Access article distributed under the terms of the Creative Commons Attribution </w:t>
                          </w:r>
                          <w:r w:rsidRPr="000261F1">
                            <w:rPr>
                              <w:rFonts w:ascii="Georgia" w:hAnsi="Georgia"/>
                              <w:sz w:val="15"/>
                              <w:szCs w:val="12"/>
                              <w:vertAlign w:val="superscript"/>
                              <w:lang w:val="en-US"/>
                            </w:rPr>
                            <w:br/>
                            <w:t xml:space="preserve">Non-Commercial-Share Alike 4.0 International (CC-BY-NC-SA 4.0) License, which permits unrestricted </w:t>
                          </w:r>
                          <w:r w:rsidRPr="000261F1">
                            <w:rPr>
                              <w:rFonts w:ascii="Georgia" w:hAnsi="Georgia"/>
                              <w:sz w:val="15"/>
                              <w:szCs w:val="12"/>
                              <w:vertAlign w:val="superscript"/>
                              <w:lang w:val="en-US"/>
                            </w:rPr>
                            <w:br/>
                            <w:t>non-commercial use, distribution, and reproduction in any medium provided the original work is properly cited.</w:t>
                          </w:r>
                        </w:p>
                        <w:p w14:paraId="27531B15" w14:textId="77777777" w:rsidR="00394C10" w:rsidRPr="000261F1" w:rsidRDefault="00394C10" w:rsidP="00F535DA">
                          <w:pPr>
                            <w:spacing w:line="240" w:lineRule="auto"/>
                            <w:jc w:val="both"/>
                            <w:rPr>
                              <w:rFonts w:ascii="Georgia" w:hAnsi="Georgia"/>
                              <w:sz w:val="15"/>
                              <w:szCs w:val="12"/>
                              <w:vertAlign w:val="superscript"/>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729038" id="_x0000_t202" coordsize="21600,21600" o:spt="202" path="m,l,21600r21600,l21600,xe">
              <v:stroke joinstyle="miter"/>
              <v:path gradientshapeok="t" o:connecttype="rect"/>
            </v:shapetype>
            <v:shape id="Text Box 1" o:spid="_x0000_s1026" type="#_x0000_t202" style="position:absolute;margin-left:290.05pt;margin-top:1.05pt;width:341.25pt;height: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" fillcolor="white [3201]" stroked="f" strokeweight=".5pt">
              <v:textbox>
                <w:txbxContent>
                  <w:p w14:paraId="20600FE7" w14:textId="77777777" w:rsidR="00394C10" w:rsidRPr="000261F1" w:rsidRDefault="00394C10" w:rsidP="00F535DA">
                    <w:pPr>
                      <w:spacing w:line="240" w:lineRule="auto"/>
                      <w:rPr>
                        <w:rFonts w:ascii="Georgia" w:hAnsi="Georgia"/>
                        <w:i/>
                        <w:iCs/>
                        <w:color w:val="002060"/>
                        <w:sz w:val="28"/>
                        <w:szCs w:val="26"/>
                        <w:vertAlign w:val="superscript"/>
                        <w:lang w:val="en-US"/>
                      </w:rPr>
                    </w:pPr>
                    <w:r w:rsidRPr="000261F1">
                      <w:rPr>
                        <w:rFonts w:ascii="Georgia" w:hAnsi="Georgia"/>
                        <w:b/>
                        <w:bCs/>
                        <w:color w:val="002060"/>
                        <w:sz w:val="28"/>
                        <w:szCs w:val="26"/>
                        <w:vertAlign w:val="superscript"/>
                        <w:lang w:val="en-US"/>
                      </w:rPr>
                      <w:t>Journal of Start Up Innovation and Management</w:t>
                    </w:r>
                  </w:p>
                  <w:p w14:paraId="0977E0DE" w14:textId="35A0F9D4" w:rsidR="00394C10" w:rsidRPr="00F535DA" w:rsidRDefault="00394C10" w:rsidP="00F535DA">
                    <w:pPr>
                      <w:spacing w:before="80" w:line="240" w:lineRule="auto"/>
                      <w:jc w:val="both"/>
                      <w:rPr>
                        <w:rFonts w:ascii="Georgia" w:hAnsi="Georgia"/>
                        <w:sz w:val="20"/>
                        <w:szCs w:val="18"/>
                        <w:vertAlign w:val="superscript"/>
                      </w:rPr>
                    </w:pPr>
                    <w:r w:rsidRPr="000261F1">
                      <w:rPr>
                        <w:rFonts w:ascii="Georgia" w:hAnsi="Georgia"/>
                        <w:sz w:val="20"/>
                        <w:szCs w:val="18"/>
                        <w:vertAlign w:val="superscript"/>
                        <w:lang w:val="en-US"/>
                      </w:rPr>
                      <w:t>Volume I</w:t>
                    </w:r>
                    <w:r w:rsidR="0092413A">
                      <w:rPr>
                        <w:rFonts w:ascii="Georgia" w:hAnsi="Georgia"/>
                        <w:sz w:val="20"/>
                        <w:szCs w:val="18"/>
                        <w:vertAlign w:val="superscript"/>
                        <w:lang w:val="en-US"/>
                      </w:rPr>
                      <w:t>I</w:t>
                    </w:r>
                    <w:r w:rsidRPr="000261F1">
                      <w:rPr>
                        <w:rFonts w:ascii="Georgia" w:hAnsi="Georgia"/>
                        <w:sz w:val="20"/>
                        <w:szCs w:val="18"/>
                        <w:vertAlign w:val="superscript"/>
                        <w:lang w:val="en-US"/>
                      </w:rPr>
                      <w:t xml:space="preserve"> </w:t>
                    </w:r>
                    <w:r w:rsidRPr="000261F1">
                      <w:rPr>
                        <w:rFonts w:ascii="Georgia" w:hAnsi="Georgia"/>
                        <w:sz w:val="20"/>
                        <w:szCs w:val="18"/>
                        <w:vertAlign w:val="superscript"/>
                      </w:rPr>
                      <w:t xml:space="preserve">– </w:t>
                    </w:r>
                    <w:r w:rsidRPr="000261F1">
                      <w:rPr>
                        <w:rFonts w:ascii="Georgia" w:hAnsi="Georgia"/>
                        <w:sz w:val="20"/>
                        <w:szCs w:val="18"/>
                        <w:vertAlign w:val="superscript"/>
                        <w:lang w:val="en-US"/>
                      </w:rPr>
                      <w:t xml:space="preserve">Issue </w:t>
                    </w:r>
                    <w:r w:rsidR="0092413A">
                      <w:rPr>
                        <w:rFonts w:ascii="Georgia" w:hAnsi="Georgia"/>
                        <w:sz w:val="20"/>
                        <w:szCs w:val="18"/>
                        <w:vertAlign w:val="superscript"/>
                        <w:lang w:val="en-US"/>
                      </w:rPr>
                      <w:t>II</w:t>
                    </w:r>
                    <w:r w:rsidRPr="000261F1">
                      <w:rPr>
                        <w:rFonts w:ascii="Georgia" w:hAnsi="Georgia"/>
                        <w:sz w:val="20"/>
                        <w:szCs w:val="18"/>
                        <w:vertAlign w:val="superscript"/>
                        <w:lang w:val="en-US"/>
                      </w:rPr>
                      <w:t>I | Copyright © JSIM</w:t>
                    </w:r>
                  </w:p>
                  <w:p w14:paraId="56FA4ED5" w14:textId="77777777" w:rsidR="00394C10" w:rsidRPr="000261F1" w:rsidRDefault="00394C10" w:rsidP="00F535DA">
                    <w:pPr>
                      <w:spacing w:line="240" w:lineRule="auto"/>
                      <w:jc w:val="both"/>
                      <w:rPr>
                        <w:rFonts w:ascii="Georgia" w:hAnsi="Georgia"/>
                        <w:sz w:val="15"/>
                        <w:szCs w:val="12"/>
                        <w:vertAlign w:val="superscript"/>
                        <w:lang w:val="en-US"/>
                      </w:rPr>
                    </w:pPr>
                    <w:r w:rsidRPr="000261F1">
                      <w:rPr>
                        <w:rFonts w:ascii="Georgia" w:hAnsi="Georgia"/>
                        <w:sz w:val="15"/>
                        <w:szCs w:val="12"/>
                        <w:vertAlign w:val="superscript"/>
                        <w:lang w:val="en-US"/>
                      </w:rPr>
                      <w:t>Contact: contact@jsim.in | www.jsim.in</w:t>
                    </w:r>
                  </w:p>
                  <w:p w14:paraId="6938138E" w14:textId="77777777" w:rsidR="00394C10" w:rsidRPr="000261F1" w:rsidRDefault="00394C10" w:rsidP="00F535DA">
                    <w:pPr>
                      <w:spacing w:line="240" w:lineRule="auto"/>
                      <w:jc w:val="both"/>
                      <w:rPr>
                        <w:rFonts w:ascii="Georgia" w:hAnsi="Georgia"/>
                        <w:sz w:val="15"/>
                        <w:szCs w:val="12"/>
                        <w:vertAlign w:val="superscript"/>
                        <w:lang w:val="en-US"/>
                      </w:rPr>
                    </w:pPr>
                    <w:r w:rsidRPr="000261F1">
                      <w:rPr>
                        <w:rFonts w:ascii="Georgia" w:hAnsi="Georgia"/>
                        <w:sz w:val="15"/>
                        <w:szCs w:val="12"/>
                        <w:vertAlign w:val="superscript"/>
                        <w:lang w:val="en-US"/>
                      </w:rPr>
                      <w:t xml:space="preserve">This is an Open Access article distributed under the terms of the Creative Commons Attribution </w:t>
                    </w:r>
                    <w:r w:rsidRPr="000261F1">
                      <w:rPr>
                        <w:rFonts w:ascii="Georgia" w:hAnsi="Georgia"/>
                        <w:sz w:val="15"/>
                        <w:szCs w:val="12"/>
                        <w:vertAlign w:val="superscript"/>
                        <w:lang w:val="en-US"/>
                      </w:rPr>
                      <w:br/>
                      <w:t xml:space="preserve">Non-Commercial-Share Alike 4.0 International (CC-BY-NC-SA 4.0) License, which permits unrestricted </w:t>
                    </w:r>
                    <w:r w:rsidRPr="000261F1">
                      <w:rPr>
                        <w:rFonts w:ascii="Georgia" w:hAnsi="Georgia"/>
                        <w:sz w:val="15"/>
                        <w:szCs w:val="12"/>
                        <w:vertAlign w:val="superscript"/>
                        <w:lang w:val="en-US"/>
                      </w:rPr>
                      <w:br/>
                      <w:t>non-commercial use, distribution, and reproduction in any medium provided the original work is properly cited.</w:t>
                    </w:r>
                  </w:p>
                  <w:p w14:paraId="27531B15" w14:textId="77777777" w:rsidR="00394C10" w:rsidRPr="000261F1" w:rsidRDefault="00394C10" w:rsidP="00F535DA">
                    <w:pPr>
                      <w:spacing w:line="240" w:lineRule="auto"/>
                      <w:jc w:val="both"/>
                      <w:rPr>
                        <w:rFonts w:ascii="Georgia" w:hAnsi="Georgia"/>
                        <w:sz w:val="15"/>
                        <w:szCs w:val="12"/>
                        <w:vertAlign w:val="superscript"/>
                        <w:lang w:val="en-US"/>
                      </w:rPr>
                    </w:pPr>
                  </w:p>
                </w:txbxContent>
              </v:textbox>
              <w10:wrap anchorx="margin"/>
            </v:shape>
          </w:pict>
        </mc:Fallback>
      </mc:AlternateContent>
    </w:r>
    <w:r w:rsidRPr="00D27364">
      <w:rPr>
        <w:rFonts w:ascii="Georgia" w:hAnsi="Georgia"/>
        <w:noProof/>
        <w:color w:val="2E4B40"/>
      </w:rPr>
      <mc:AlternateContent>
        <mc:Choice Requires="wps">
          <w:drawing>
            <wp:anchor distT="0" distB="0" distL="114300" distR="114300" simplePos="0" relativeHeight="251660288" behindDoc="0" locked="0" layoutInCell="1" allowOverlap="1" wp14:anchorId="11F7E19F" wp14:editId="6D975159">
              <wp:simplePos x="0" y="0"/>
              <wp:positionH relativeFrom="column">
                <wp:posOffset>1361880</wp:posOffset>
              </wp:positionH>
              <wp:positionV relativeFrom="paragraph">
                <wp:posOffset>41910</wp:posOffset>
              </wp:positionV>
              <wp:extent cx="0" cy="1133230"/>
              <wp:effectExtent l="0" t="0" r="12700" b="10160"/>
              <wp:wrapNone/>
              <wp:docPr id="550671786" name="Straight Connector 2"/>
              <wp:cNvGraphicFramePr/>
              <a:graphic xmlns:a="http://schemas.openxmlformats.org/drawingml/2006/main">
                <a:graphicData uri="http://schemas.microsoft.com/office/word/2010/wordprocessingShape">
                  <wps:wsp>
                    <wps:cNvCnPr/>
                    <wps:spPr>
                      <a:xfrm>
                        <a:off x="0" y="0"/>
                        <a:ext cx="0" cy="1133230"/>
                      </a:xfrm>
                      <a:prstGeom prst="line">
                        <a:avLst/>
                      </a:prstGeom>
                      <a:ln>
                        <a:solidFill>
                          <a:srgbClr val="2E4B4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95135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7.25pt,3.3pt" to="107.2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" strokecolor="#2e4b40" strokeweight="1pt">
              <v:stroke joinstyle="miter"/>
            </v:line>
          </w:pict>
        </mc:Fallback>
      </mc:AlternateContent>
    </w:r>
    <w:r>
      <w:rPr>
        <w:rFonts w:ascii="Georgia" w:hAnsi="Georgia"/>
        <w:noProof/>
      </w:rPr>
      <w:drawing>
        <wp:inline distT="0" distB="0" distL="0" distR="0" wp14:anchorId="6118B333" wp14:editId="0B9F8CB6">
          <wp:extent cx="1179335" cy="1179335"/>
          <wp:effectExtent l="0" t="0" r="1905" b="1905"/>
          <wp:docPr id="69315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11000" name="Picture 1906911000"/>
                  <pic:cNvPicPr/>
                </pic:nvPicPr>
                <pic:blipFill>
                  <a:blip r:embed="rId1">
                    <a:extLst>
                      <a:ext uri="{28A0092B-C50C-407E-A947-70E740481C1C}">
                        <a14:useLocalDpi xmlns:a14="http://schemas.microsoft.com/office/drawing/2010/main" val="0"/>
                      </a:ext>
                    </a:extLst>
                  </a:blip>
                  <a:stretch>
                    <a:fillRect/>
                  </a:stretch>
                </pic:blipFill>
                <pic:spPr>
                  <a:xfrm>
                    <a:off x="0" y="0"/>
                    <a:ext cx="1183647" cy="1183647"/>
                  </a:xfrm>
                  <a:prstGeom prst="rect">
                    <a:avLst/>
                  </a:prstGeom>
                </pic:spPr>
              </pic:pic>
            </a:graphicData>
          </a:graphic>
        </wp:inline>
      </w:drawing>
    </w:r>
  </w:p>
  <w:p w14:paraId="14CE4CD3" w14:textId="77777777" w:rsidR="00394C10" w:rsidRDefault="00394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041"/>
    <w:multiLevelType w:val="hybridMultilevel"/>
    <w:tmpl w:val="192292C8"/>
    <w:lvl w:ilvl="0" w:tplc="40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5AB50AEA"/>
    <w:multiLevelType w:val="hybridMultilevel"/>
    <w:tmpl w:val="B618510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87846838">
    <w:abstractNumId w:val="1"/>
  </w:num>
  <w:num w:numId="2" w16cid:durableId="118590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42"/>
    <w:rsid w:val="0001220A"/>
    <w:rsid w:val="00012941"/>
    <w:rsid w:val="00021879"/>
    <w:rsid w:val="0002389C"/>
    <w:rsid w:val="00053F1D"/>
    <w:rsid w:val="00056898"/>
    <w:rsid w:val="000A10C0"/>
    <w:rsid w:val="000D0E63"/>
    <w:rsid w:val="000E16FA"/>
    <w:rsid w:val="00184625"/>
    <w:rsid w:val="00185B24"/>
    <w:rsid w:val="001B1F50"/>
    <w:rsid w:val="001E00CD"/>
    <w:rsid w:val="001E2A01"/>
    <w:rsid w:val="002112F0"/>
    <w:rsid w:val="00240DA9"/>
    <w:rsid w:val="002672B5"/>
    <w:rsid w:val="002736B5"/>
    <w:rsid w:val="0027572E"/>
    <w:rsid w:val="00275F49"/>
    <w:rsid w:val="00287234"/>
    <w:rsid w:val="00287287"/>
    <w:rsid w:val="0029194E"/>
    <w:rsid w:val="002A2C2F"/>
    <w:rsid w:val="002B0042"/>
    <w:rsid w:val="002D57C0"/>
    <w:rsid w:val="002E64F9"/>
    <w:rsid w:val="00325142"/>
    <w:rsid w:val="0033378E"/>
    <w:rsid w:val="00344F2D"/>
    <w:rsid w:val="00346749"/>
    <w:rsid w:val="00350D7C"/>
    <w:rsid w:val="0036410E"/>
    <w:rsid w:val="00386247"/>
    <w:rsid w:val="003948CB"/>
    <w:rsid w:val="00394C10"/>
    <w:rsid w:val="003C624F"/>
    <w:rsid w:val="003E4DC5"/>
    <w:rsid w:val="00476CA9"/>
    <w:rsid w:val="005263A0"/>
    <w:rsid w:val="00537FEC"/>
    <w:rsid w:val="005630BC"/>
    <w:rsid w:val="005B43F0"/>
    <w:rsid w:val="005C0CB4"/>
    <w:rsid w:val="005E2039"/>
    <w:rsid w:val="00655360"/>
    <w:rsid w:val="006903C9"/>
    <w:rsid w:val="00694E2C"/>
    <w:rsid w:val="006A1208"/>
    <w:rsid w:val="006A55D5"/>
    <w:rsid w:val="00740E7E"/>
    <w:rsid w:val="007A4AFE"/>
    <w:rsid w:val="007B033E"/>
    <w:rsid w:val="007B7387"/>
    <w:rsid w:val="007D7E5C"/>
    <w:rsid w:val="007F14EF"/>
    <w:rsid w:val="007F448A"/>
    <w:rsid w:val="008063E5"/>
    <w:rsid w:val="008131A1"/>
    <w:rsid w:val="00830895"/>
    <w:rsid w:val="008B58F2"/>
    <w:rsid w:val="008C21E7"/>
    <w:rsid w:val="008D1DB5"/>
    <w:rsid w:val="008D71C8"/>
    <w:rsid w:val="008E2F47"/>
    <w:rsid w:val="009014E4"/>
    <w:rsid w:val="0092413A"/>
    <w:rsid w:val="009267E4"/>
    <w:rsid w:val="00943604"/>
    <w:rsid w:val="0094554F"/>
    <w:rsid w:val="009C5B80"/>
    <w:rsid w:val="009F257E"/>
    <w:rsid w:val="009F6C68"/>
    <w:rsid w:val="00A26ADA"/>
    <w:rsid w:val="00AF496F"/>
    <w:rsid w:val="00B1313E"/>
    <w:rsid w:val="00B256DA"/>
    <w:rsid w:val="00B530F8"/>
    <w:rsid w:val="00B85545"/>
    <w:rsid w:val="00B87662"/>
    <w:rsid w:val="00B97484"/>
    <w:rsid w:val="00BA2E42"/>
    <w:rsid w:val="00C13857"/>
    <w:rsid w:val="00C415E3"/>
    <w:rsid w:val="00C94BE3"/>
    <w:rsid w:val="00CD71C4"/>
    <w:rsid w:val="00D51B6F"/>
    <w:rsid w:val="00D86458"/>
    <w:rsid w:val="00D90C0B"/>
    <w:rsid w:val="00E14275"/>
    <w:rsid w:val="00EA2ACE"/>
    <w:rsid w:val="00EC6996"/>
    <w:rsid w:val="00EF7181"/>
    <w:rsid w:val="00F37E9B"/>
    <w:rsid w:val="00F535DA"/>
    <w:rsid w:val="00F60787"/>
    <w:rsid w:val="00F6196A"/>
    <w:rsid w:val="00F7037D"/>
    <w:rsid w:val="00F8134E"/>
    <w:rsid w:val="00F9137F"/>
    <w:rsid w:val="00FA3554"/>
    <w:rsid w:val="00FC51C0"/>
    <w:rsid w:val="00FD36C4"/>
    <w:rsid w:val="00FE54A9"/>
    <w:rsid w:val="00FF10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CAD5"/>
  <w15:chartTrackingRefBased/>
  <w15:docId w15:val="{89AFBEF9-0B00-45B1-B1E3-842E37D4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E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2E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2E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2E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2E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2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E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2E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2E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2E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2E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2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E42"/>
    <w:rPr>
      <w:rFonts w:eastAsiaTheme="majorEastAsia" w:cstheme="majorBidi"/>
      <w:color w:val="272727" w:themeColor="text1" w:themeTint="D8"/>
    </w:rPr>
  </w:style>
  <w:style w:type="paragraph" w:styleId="Title">
    <w:name w:val="Title"/>
    <w:basedOn w:val="Normal"/>
    <w:next w:val="Normal"/>
    <w:link w:val="TitleChar"/>
    <w:uiPriority w:val="10"/>
    <w:qFormat/>
    <w:rsid w:val="00B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E42"/>
    <w:pPr>
      <w:spacing w:before="160"/>
      <w:jc w:val="center"/>
    </w:pPr>
    <w:rPr>
      <w:i/>
      <w:iCs/>
      <w:color w:val="404040" w:themeColor="text1" w:themeTint="BF"/>
    </w:rPr>
  </w:style>
  <w:style w:type="character" w:customStyle="1" w:styleId="QuoteChar">
    <w:name w:val="Quote Char"/>
    <w:basedOn w:val="DefaultParagraphFont"/>
    <w:link w:val="Quote"/>
    <w:uiPriority w:val="29"/>
    <w:rsid w:val="00BA2E42"/>
    <w:rPr>
      <w:i/>
      <w:iCs/>
      <w:color w:val="404040" w:themeColor="text1" w:themeTint="BF"/>
    </w:rPr>
  </w:style>
  <w:style w:type="paragraph" w:styleId="ListParagraph">
    <w:name w:val="List Paragraph"/>
    <w:basedOn w:val="Normal"/>
    <w:uiPriority w:val="34"/>
    <w:qFormat/>
    <w:rsid w:val="00BA2E42"/>
    <w:pPr>
      <w:ind w:left="720"/>
      <w:contextualSpacing/>
    </w:pPr>
  </w:style>
  <w:style w:type="character" w:styleId="IntenseEmphasis">
    <w:name w:val="Intense Emphasis"/>
    <w:basedOn w:val="DefaultParagraphFont"/>
    <w:uiPriority w:val="21"/>
    <w:qFormat/>
    <w:rsid w:val="00BA2E42"/>
    <w:rPr>
      <w:i/>
      <w:iCs/>
      <w:color w:val="2F5496" w:themeColor="accent1" w:themeShade="BF"/>
    </w:rPr>
  </w:style>
  <w:style w:type="paragraph" w:styleId="IntenseQuote">
    <w:name w:val="Intense Quote"/>
    <w:basedOn w:val="Normal"/>
    <w:next w:val="Normal"/>
    <w:link w:val="IntenseQuoteChar"/>
    <w:uiPriority w:val="30"/>
    <w:qFormat/>
    <w:rsid w:val="00BA2E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2E42"/>
    <w:rPr>
      <w:i/>
      <w:iCs/>
      <w:color w:val="2F5496" w:themeColor="accent1" w:themeShade="BF"/>
    </w:rPr>
  </w:style>
  <w:style w:type="character" w:styleId="IntenseReference">
    <w:name w:val="Intense Reference"/>
    <w:basedOn w:val="DefaultParagraphFont"/>
    <w:uiPriority w:val="32"/>
    <w:qFormat/>
    <w:rsid w:val="00BA2E42"/>
    <w:rPr>
      <w:b/>
      <w:bCs/>
      <w:smallCaps/>
      <w:color w:val="2F5496" w:themeColor="accent1" w:themeShade="BF"/>
      <w:spacing w:val="5"/>
    </w:rPr>
  </w:style>
  <w:style w:type="character" w:styleId="Hyperlink">
    <w:name w:val="Hyperlink"/>
    <w:basedOn w:val="DefaultParagraphFont"/>
    <w:uiPriority w:val="99"/>
    <w:unhideWhenUsed/>
    <w:rsid w:val="00BA2E42"/>
    <w:rPr>
      <w:color w:val="0563C1" w:themeColor="hyperlink"/>
      <w:u w:val="single"/>
    </w:rPr>
  </w:style>
  <w:style w:type="character" w:styleId="UnresolvedMention">
    <w:name w:val="Unresolved Mention"/>
    <w:basedOn w:val="DefaultParagraphFont"/>
    <w:uiPriority w:val="99"/>
    <w:semiHidden/>
    <w:unhideWhenUsed/>
    <w:rsid w:val="00BA2E42"/>
    <w:rPr>
      <w:color w:val="605E5C"/>
      <w:shd w:val="clear" w:color="auto" w:fill="E1DFDD"/>
    </w:rPr>
  </w:style>
  <w:style w:type="character" w:styleId="FollowedHyperlink">
    <w:name w:val="FollowedHyperlink"/>
    <w:basedOn w:val="DefaultParagraphFont"/>
    <w:uiPriority w:val="99"/>
    <w:semiHidden/>
    <w:unhideWhenUsed/>
    <w:rsid w:val="0094554F"/>
    <w:rPr>
      <w:color w:val="954F72" w:themeColor="followedHyperlink"/>
      <w:u w:val="single"/>
    </w:rPr>
  </w:style>
  <w:style w:type="paragraph" w:styleId="NormalWeb">
    <w:name w:val="Normal (Web)"/>
    <w:basedOn w:val="Normal"/>
    <w:uiPriority w:val="99"/>
    <w:semiHidden/>
    <w:unhideWhenUsed/>
    <w:rsid w:val="00B85545"/>
    <w:rPr>
      <w:rFonts w:ascii="Times New Roman" w:hAnsi="Times New Roman" w:cs="Times New Roman"/>
      <w:sz w:val="24"/>
      <w:szCs w:val="24"/>
    </w:rPr>
  </w:style>
  <w:style w:type="paragraph" w:styleId="TOCHeading">
    <w:name w:val="TOC Heading"/>
    <w:basedOn w:val="Heading1"/>
    <w:next w:val="Normal"/>
    <w:uiPriority w:val="39"/>
    <w:unhideWhenUsed/>
    <w:qFormat/>
    <w:rsid w:val="00FD36C4"/>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EA2ACE"/>
    <w:pPr>
      <w:spacing w:after="100"/>
    </w:pPr>
  </w:style>
  <w:style w:type="paragraph" w:styleId="Header">
    <w:name w:val="header"/>
    <w:basedOn w:val="Normal"/>
    <w:link w:val="HeaderChar"/>
    <w:uiPriority w:val="99"/>
    <w:unhideWhenUsed/>
    <w:rsid w:val="00394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C10"/>
  </w:style>
  <w:style w:type="paragraph" w:styleId="Footer">
    <w:name w:val="footer"/>
    <w:basedOn w:val="Normal"/>
    <w:link w:val="FooterChar"/>
    <w:uiPriority w:val="99"/>
    <w:unhideWhenUsed/>
    <w:rsid w:val="00394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C10"/>
  </w:style>
  <w:style w:type="character" w:styleId="PageNumber">
    <w:name w:val="page number"/>
    <w:basedOn w:val="DefaultParagraphFont"/>
    <w:uiPriority w:val="99"/>
    <w:semiHidden/>
    <w:unhideWhenUsed/>
    <w:rsid w:val="00346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840D5-7F92-4973-938B-86C4CAA8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2220</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Siddhi  Singh</dc:creator>
  <cp:keywords/>
  <dc:description/>
  <cp:lastModifiedBy>Himanshu Gavhane</cp:lastModifiedBy>
  <cp:revision>86</cp:revision>
  <dcterms:created xsi:type="dcterms:W3CDTF">2026-06-08T07:51:00Z</dcterms:created>
  <dcterms:modified xsi:type="dcterms:W3CDTF">2026-06-26T14:41:00Z</dcterms:modified>
</cp:coreProperties>
</file>