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1BFA" w14:textId="1707B46A" w:rsidR="00BD1933" w:rsidRPr="00CB613B" w:rsidRDefault="00513AE3" w:rsidP="00CB613B">
      <w:pPr>
        <w:spacing w:line="360" w:lineRule="auto"/>
        <w:jc w:val="center"/>
        <w:rPr>
          <w:rFonts w:cs="Times New Roman"/>
          <w:color w:val="000000" w:themeColor="text1"/>
          <w:lang w:val="en-US"/>
        </w:rPr>
      </w:pPr>
      <w:r w:rsidRPr="00CB613B">
        <w:rPr>
          <w:rFonts w:cs="Times New Roman"/>
          <w:noProof/>
          <w:color w:val="000000" w:themeColor="text1"/>
          <w:lang w:eastAsia="en-IN"/>
        </w:rPr>
        <mc:AlternateContent>
          <mc:Choice Requires="wps">
            <w:drawing>
              <wp:anchor distT="0" distB="0" distL="114300" distR="114300" simplePos="0" relativeHeight="251662336" behindDoc="1" locked="0" layoutInCell="1" allowOverlap="1" wp14:anchorId="1ACB576F" wp14:editId="57B1FEF5">
                <wp:simplePos x="0" y="0"/>
                <wp:positionH relativeFrom="column">
                  <wp:posOffset>184150</wp:posOffset>
                </wp:positionH>
                <wp:positionV relativeFrom="paragraph">
                  <wp:posOffset>53975</wp:posOffset>
                </wp:positionV>
                <wp:extent cx="6438900" cy="1619250"/>
                <wp:effectExtent l="0" t="0" r="0" b="0"/>
                <wp:wrapNone/>
                <wp:docPr id="854080609" name="Text Box 5"/>
                <wp:cNvGraphicFramePr/>
                <a:graphic xmlns:a="http://schemas.openxmlformats.org/drawingml/2006/main">
                  <a:graphicData uri="http://schemas.microsoft.com/office/word/2010/wordprocessingShape">
                    <wps:wsp>
                      <wps:cNvSpPr txBox="1"/>
                      <wps:spPr>
                        <a:xfrm>
                          <a:off x="0" y="0"/>
                          <a:ext cx="6438900" cy="1619250"/>
                        </a:xfrm>
                        <a:prstGeom prst="rect">
                          <a:avLst/>
                        </a:prstGeom>
                        <a:solidFill>
                          <a:schemeClr val="lt1"/>
                        </a:solidFill>
                        <a:ln w="6350">
                          <a:noFill/>
                        </a:ln>
                      </wps:spPr>
                      <wps:txbx>
                        <w:txbxContent>
                          <w:p w14:paraId="3E75FFDC" w14:textId="2ED23A8E" w:rsidR="00CB613B" w:rsidRDefault="00F9529E" w:rsidP="00D66117">
                            <w:pPr>
                              <w:jc w:val="center"/>
                              <w:rPr>
                                <w:lang w:val="en-US"/>
                              </w:rPr>
                            </w:pPr>
                            <w:r w:rsidRPr="00ED3918">
                              <w:rPr>
                                <w:rFonts w:ascii="Georgia" w:eastAsia="Times New Roman" w:hAnsi="Georgia" w:cs="Times New Roman"/>
                                <w:b/>
                                <w:bCs/>
                                <w:sz w:val="28"/>
                                <w:szCs w:val="28"/>
                                <w:lang w:val="en-US" w:eastAsia="en-GB"/>
                              </w:rPr>
                              <w:t>CHALLENGES ON EXTERNAL ENVIRONMENTAL FACTORS ON BUSINESSES</w:t>
                            </w:r>
                          </w:p>
                          <w:p w14:paraId="651C53B4" w14:textId="77777777" w:rsidR="00D66117" w:rsidRDefault="00D66117" w:rsidP="00CB613B">
                            <w:pPr>
                              <w:jc w:val="center"/>
                              <w:rPr>
                                <w:lang w:val="en-US"/>
                              </w:rPr>
                            </w:pPr>
                          </w:p>
                          <w:p w14:paraId="405C0E7E" w14:textId="14DC0B65" w:rsidR="00513AE3" w:rsidRDefault="00BD1933" w:rsidP="00F9529E">
                            <w:pPr>
                              <w:jc w:val="center"/>
                              <w:rPr>
                                <w:lang w:val="en-US"/>
                              </w:rPr>
                            </w:pPr>
                            <w:r>
                              <w:rPr>
                                <w:lang w:val="en-US"/>
                              </w:rPr>
                              <w:t xml:space="preserve">Hem </w:t>
                            </w:r>
                            <w:proofErr w:type="spellStart"/>
                            <w:r>
                              <w:rPr>
                                <w:lang w:val="en-US"/>
                              </w:rPr>
                              <w:t>Madhamshettiwar</w:t>
                            </w:r>
                            <w:proofErr w:type="spellEnd"/>
                            <w:r w:rsidR="00513AE3">
                              <w:rPr>
                                <w:lang w:val="en-US"/>
                              </w:rPr>
                              <w:br/>
                              <w:t>[2</w:t>
                            </w:r>
                            <w:r w:rsidR="00513AE3" w:rsidRPr="00513AE3">
                              <w:rPr>
                                <w:vertAlign w:val="superscript"/>
                                <w:lang w:val="en-US"/>
                              </w:rPr>
                              <w:t>nd</w:t>
                            </w:r>
                            <w:r w:rsidR="00513AE3">
                              <w:rPr>
                                <w:lang w:val="en-US"/>
                              </w:rPr>
                              <w:t xml:space="preserve"> year, </w:t>
                            </w:r>
                            <w:proofErr w:type="spellStart"/>
                            <w:r w:rsidR="00513AE3">
                              <w:rPr>
                                <w:lang w:val="en-US"/>
                              </w:rPr>
                              <w:t>Navmal</w:t>
                            </w:r>
                            <w:proofErr w:type="spellEnd"/>
                            <w:r w:rsidR="00513AE3">
                              <w:rPr>
                                <w:lang w:val="en-US"/>
                              </w:rPr>
                              <w:t xml:space="preserve"> Firodia college of Law, Pune]</w:t>
                            </w:r>
                          </w:p>
                          <w:p w14:paraId="343D2BC4" w14:textId="77777777" w:rsidR="00513AE3" w:rsidRDefault="00513AE3" w:rsidP="00F9529E">
                            <w:pPr>
                              <w:jc w:val="center"/>
                              <w:rPr>
                                <w:lang w:val="en-US"/>
                              </w:rPr>
                            </w:pPr>
                          </w:p>
                          <w:p w14:paraId="444C294D" w14:textId="0381667D" w:rsidR="00BD1933" w:rsidRDefault="00513AE3" w:rsidP="00F9529E">
                            <w:pPr>
                              <w:jc w:val="center"/>
                              <w:rPr>
                                <w:lang w:val="en-US"/>
                              </w:rPr>
                            </w:pPr>
                            <w:r>
                              <w:rPr>
                                <w:lang w:val="en-US"/>
                              </w:rPr>
                              <w:t>Ninad Kulkarni</w:t>
                            </w:r>
                            <w:r>
                              <w:rPr>
                                <w:lang w:val="en-US"/>
                              </w:rPr>
                              <w:br/>
                              <w:t>[2</w:t>
                            </w:r>
                            <w:r w:rsidRPr="00513AE3">
                              <w:rPr>
                                <w:vertAlign w:val="superscript"/>
                                <w:lang w:val="en-US"/>
                              </w:rPr>
                              <w:t>nd</w:t>
                            </w:r>
                            <w:r>
                              <w:rPr>
                                <w:lang w:val="en-US"/>
                              </w:rPr>
                              <w:t xml:space="preserve"> year, Maharashtra National Law University, Nagpur</w:t>
                            </w:r>
                            <w:r>
                              <w:rPr>
                                <w:lang w:val="en-US"/>
                              </w:rPr>
                              <w:br/>
                            </w:r>
                          </w:p>
                          <w:p w14:paraId="07DA6D78" w14:textId="405BFB1F" w:rsidR="00BD1933" w:rsidRDefault="00BD1933" w:rsidP="00CB613B">
                            <w:pPr>
                              <w:jc w:val="center"/>
                              <w:rPr>
                                <w:lang w:val="en-US"/>
                              </w:rPr>
                            </w:pPr>
                            <w:r>
                              <w:rPr>
                                <w:lang w:val="en-US"/>
                              </w:rPr>
                              <w:t>Ninad Kulkarni</w:t>
                            </w:r>
                          </w:p>
                          <w:p w14:paraId="4CAB38FA" w14:textId="77777777" w:rsidR="00BD1933" w:rsidRPr="00BD1933" w:rsidRDefault="00BD193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B576F" id="_x0000_t202" coordsize="21600,21600" o:spt="202" path="m,l,21600r21600,l21600,xe">
                <v:stroke joinstyle="miter"/>
                <v:path gradientshapeok="t" o:connecttype="rect"/>
              </v:shapetype>
              <v:shape id="Text Box 5" o:spid="_x0000_s1026" type="#_x0000_t202" style="position:absolute;left:0;text-align:left;margin-left:14.5pt;margin-top:4.25pt;width:507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" fillcolor="white [3201]" stroked="f" strokeweight=".5pt">
                <v:textbox>
                  <w:txbxContent>
                    <w:p w14:paraId="3E75FFDC" w14:textId="2ED23A8E" w:rsidR="00CB613B" w:rsidRDefault="00F9529E" w:rsidP="00D66117">
                      <w:pPr>
                        <w:jc w:val="center"/>
                        <w:rPr>
                          <w:lang w:val="en-US"/>
                        </w:rPr>
                      </w:pPr>
                      <w:r w:rsidRPr="00ED3918">
                        <w:rPr>
                          <w:rFonts w:ascii="Georgia" w:eastAsia="Times New Roman" w:hAnsi="Georgia" w:cs="Times New Roman"/>
                          <w:b/>
                          <w:bCs/>
                          <w:sz w:val="28"/>
                          <w:szCs w:val="28"/>
                          <w:lang w:val="en-US" w:eastAsia="en-GB"/>
                        </w:rPr>
                        <w:t>CHALLENGES ON EXTERNAL ENVIRONMENTAL FACTORS ON BUSINESSES</w:t>
                      </w:r>
                    </w:p>
                    <w:p w14:paraId="651C53B4" w14:textId="77777777" w:rsidR="00D66117" w:rsidRDefault="00D66117" w:rsidP="00CB613B">
                      <w:pPr>
                        <w:jc w:val="center"/>
                        <w:rPr>
                          <w:lang w:val="en-US"/>
                        </w:rPr>
                      </w:pPr>
                    </w:p>
                    <w:p w14:paraId="405C0E7E" w14:textId="14DC0B65" w:rsidR="00513AE3" w:rsidRDefault="00BD1933" w:rsidP="00F9529E">
                      <w:pPr>
                        <w:jc w:val="center"/>
                        <w:rPr>
                          <w:lang w:val="en-US"/>
                        </w:rPr>
                      </w:pPr>
                      <w:r>
                        <w:rPr>
                          <w:lang w:val="en-US"/>
                        </w:rPr>
                        <w:t xml:space="preserve">Hem </w:t>
                      </w:r>
                      <w:proofErr w:type="spellStart"/>
                      <w:r>
                        <w:rPr>
                          <w:lang w:val="en-US"/>
                        </w:rPr>
                        <w:t>Madhamshettiwar</w:t>
                      </w:r>
                      <w:proofErr w:type="spellEnd"/>
                      <w:r w:rsidR="00513AE3">
                        <w:rPr>
                          <w:lang w:val="en-US"/>
                        </w:rPr>
                        <w:br/>
                        <w:t>[2</w:t>
                      </w:r>
                      <w:r w:rsidR="00513AE3" w:rsidRPr="00513AE3">
                        <w:rPr>
                          <w:vertAlign w:val="superscript"/>
                          <w:lang w:val="en-US"/>
                        </w:rPr>
                        <w:t>nd</w:t>
                      </w:r>
                      <w:r w:rsidR="00513AE3">
                        <w:rPr>
                          <w:lang w:val="en-US"/>
                        </w:rPr>
                        <w:t xml:space="preserve"> year, </w:t>
                      </w:r>
                      <w:proofErr w:type="spellStart"/>
                      <w:r w:rsidR="00513AE3">
                        <w:rPr>
                          <w:lang w:val="en-US"/>
                        </w:rPr>
                        <w:t>Navmal</w:t>
                      </w:r>
                      <w:proofErr w:type="spellEnd"/>
                      <w:r w:rsidR="00513AE3">
                        <w:rPr>
                          <w:lang w:val="en-US"/>
                        </w:rPr>
                        <w:t xml:space="preserve"> Firodia college of Law, Pune]</w:t>
                      </w:r>
                    </w:p>
                    <w:p w14:paraId="343D2BC4" w14:textId="77777777" w:rsidR="00513AE3" w:rsidRDefault="00513AE3" w:rsidP="00F9529E">
                      <w:pPr>
                        <w:jc w:val="center"/>
                        <w:rPr>
                          <w:lang w:val="en-US"/>
                        </w:rPr>
                      </w:pPr>
                    </w:p>
                    <w:p w14:paraId="444C294D" w14:textId="0381667D" w:rsidR="00BD1933" w:rsidRDefault="00513AE3" w:rsidP="00F9529E">
                      <w:pPr>
                        <w:jc w:val="center"/>
                        <w:rPr>
                          <w:lang w:val="en-US"/>
                        </w:rPr>
                      </w:pPr>
                      <w:r>
                        <w:rPr>
                          <w:lang w:val="en-US"/>
                        </w:rPr>
                        <w:t>Ninad Kulkarni</w:t>
                      </w:r>
                      <w:r>
                        <w:rPr>
                          <w:lang w:val="en-US"/>
                        </w:rPr>
                        <w:br/>
                        <w:t>[2</w:t>
                      </w:r>
                      <w:r w:rsidRPr="00513AE3">
                        <w:rPr>
                          <w:vertAlign w:val="superscript"/>
                          <w:lang w:val="en-US"/>
                        </w:rPr>
                        <w:t>nd</w:t>
                      </w:r>
                      <w:r>
                        <w:rPr>
                          <w:lang w:val="en-US"/>
                        </w:rPr>
                        <w:t xml:space="preserve"> year, Maharashtra National Law University, Nagpur</w:t>
                      </w:r>
                      <w:r>
                        <w:rPr>
                          <w:lang w:val="en-US"/>
                        </w:rPr>
                        <w:br/>
                      </w:r>
                    </w:p>
                    <w:p w14:paraId="07DA6D78" w14:textId="405BFB1F" w:rsidR="00BD1933" w:rsidRDefault="00BD1933" w:rsidP="00CB613B">
                      <w:pPr>
                        <w:jc w:val="center"/>
                        <w:rPr>
                          <w:lang w:val="en-US"/>
                        </w:rPr>
                      </w:pPr>
                      <w:r>
                        <w:rPr>
                          <w:lang w:val="en-US"/>
                        </w:rPr>
                        <w:t>Ninad Kulkarni</w:t>
                      </w:r>
                    </w:p>
                    <w:p w14:paraId="4CAB38FA" w14:textId="77777777" w:rsidR="00BD1933" w:rsidRPr="00BD1933" w:rsidRDefault="00BD1933">
                      <w:pPr>
                        <w:rPr>
                          <w:lang w:val="en-US"/>
                        </w:rPr>
                      </w:pPr>
                    </w:p>
                  </w:txbxContent>
                </v:textbox>
              </v:shape>
            </w:pict>
          </mc:Fallback>
        </mc:AlternateContent>
      </w:r>
      <w:r w:rsidR="00BD1933" w:rsidRPr="00CB613B">
        <w:rPr>
          <w:rFonts w:cs="Times New Roman"/>
          <w:noProof/>
          <w:color w:val="000000" w:themeColor="text1"/>
          <w:lang w:eastAsia="en-IN"/>
        </w:rPr>
        <mc:AlternateContent>
          <mc:Choice Requires="wps">
            <w:drawing>
              <wp:anchor distT="0" distB="0" distL="114300" distR="114300" simplePos="0" relativeHeight="251659264" behindDoc="0" locked="0" layoutInCell="1" allowOverlap="1" wp14:anchorId="3A10FBBD" wp14:editId="48D9B78B">
                <wp:simplePos x="0" y="0"/>
                <wp:positionH relativeFrom="margin">
                  <wp:align>right</wp:align>
                </wp:positionH>
                <wp:positionV relativeFrom="paragraph">
                  <wp:posOffset>4445</wp:posOffset>
                </wp:positionV>
                <wp:extent cx="6774180" cy="7620"/>
                <wp:effectExtent l="0" t="0" r="26670" b="30480"/>
                <wp:wrapNone/>
                <wp:docPr id="2078512718" name="Straight Connector 4"/>
                <wp:cNvGraphicFramePr/>
                <a:graphic xmlns:a="http://schemas.openxmlformats.org/drawingml/2006/main">
                  <a:graphicData uri="http://schemas.microsoft.com/office/word/2010/wordprocessingShape">
                    <wps:wsp>
                      <wps:cNvCnPr/>
                      <wps:spPr>
                        <a:xfrm flipV="1">
                          <a:off x="0" y="0"/>
                          <a:ext cx="67741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62337" id="Straight Connector 4"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2.2pt,.35pt" to="101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" strokecolor="black [3200]" strokeweight=".5pt">
                <v:stroke joinstyle="miter"/>
                <w10:wrap anchorx="margin"/>
              </v:line>
            </w:pict>
          </mc:Fallback>
        </mc:AlternateContent>
      </w:r>
    </w:p>
    <w:p w14:paraId="4D9001B0" w14:textId="7A3D26D5" w:rsidR="00BD1933" w:rsidRPr="00CB613B" w:rsidRDefault="00BD1933" w:rsidP="00CB613B">
      <w:pPr>
        <w:spacing w:line="360" w:lineRule="auto"/>
        <w:jc w:val="both"/>
        <w:rPr>
          <w:rFonts w:cs="Times New Roman"/>
          <w:color w:val="000000" w:themeColor="text1"/>
          <w:lang w:val="en-US"/>
        </w:rPr>
      </w:pPr>
    </w:p>
    <w:p w14:paraId="11C12985" w14:textId="6FCFFD17" w:rsidR="00BD1933" w:rsidRPr="00CB613B" w:rsidRDefault="00BD1933" w:rsidP="00CB613B">
      <w:pPr>
        <w:spacing w:line="360" w:lineRule="auto"/>
        <w:rPr>
          <w:rFonts w:cs="Times New Roman"/>
          <w:color w:val="000000" w:themeColor="text1"/>
          <w:lang w:val="en-US"/>
        </w:rPr>
      </w:pPr>
    </w:p>
    <w:p w14:paraId="560D95CF" w14:textId="793E2509" w:rsidR="00BD1933" w:rsidRPr="00CB613B" w:rsidRDefault="00BD1933" w:rsidP="00CB613B">
      <w:pPr>
        <w:spacing w:line="360" w:lineRule="auto"/>
        <w:jc w:val="both"/>
        <w:rPr>
          <w:rFonts w:cs="Times New Roman"/>
          <w:color w:val="000000" w:themeColor="text1"/>
          <w:lang w:val="en-US"/>
        </w:rPr>
      </w:pPr>
    </w:p>
    <w:p w14:paraId="438645FB" w14:textId="554B6359" w:rsidR="00BD1933" w:rsidRPr="00CB613B" w:rsidRDefault="00BD1933" w:rsidP="00CB613B">
      <w:pPr>
        <w:spacing w:line="360" w:lineRule="auto"/>
        <w:jc w:val="both"/>
        <w:rPr>
          <w:rFonts w:cs="Times New Roman"/>
          <w:color w:val="000000" w:themeColor="text1"/>
          <w:lang w:val="en-US"/>
        </w:rPr>
      </w:pPr>
    </w:p>
    <w:p w14:paraId="71472680" w14:textId="21283D1C" w:rsidR="00BD1933" w:rsidRPr="00CB613B" w:rsidRDefault="00BD1933" w:rsidP="00CB613B">
      <w:pPr>
        <w:spacing w:line="360" w:lineRule="auto"/>
        <w:jc w:val="both"/>
        <w:rPr>
          <w:rFonts w:cs="Times New Roman"/>
          <w:color w:val="000000" w:themeColor="text1"/>
          <w:lang w:val="en-US"/>
        </w:rPr>
      </w:pPr>
    </w:p>
    <w:p w14:paraId="1E4A9D55" w14:textId="21FC9787" w:rsidR="00513AE3" w:rsidRDefault="00513AE3" w:rsidP="00CB613B">
      <w:pPr>
        <w:spacing w:line="360" w:lineRule="auto"/>
        <w:jc w:val="both"/>
        <w:rPr>
          <w:rFonts w:cs="Times New Roman"/>
          <w:b/>
          <w:bCs/>
          <w:color w:val="000000" w:themeColor="text1"/>
          <w:lang w:val="en-US"/>
        </w:rPr>
      </w:pPr>
      <w:r w:rsidRPr="00CB613B">
        <w:rPr>
          <w:rFonts w:cs="Times New Roman"/>
          <w:noProof/>
          <w:color w:val="000000" w:themeColor="text1"/>
          <w:lang w:eastAsia="en-IN"/>
        </w:rPr>
        <mc:AlternateContent>
          <mc:Choice Requires="wps">
            <w:drawing>
              <wp:anchor distT="0" distB="0" distL="114300" distR="114300" simplePos="0" relativeHeight="251661312" behindDoc="0" locked="0" layoutInCell="1" allowOverlap="1" wp14:anchorId="1541E9B3" wp14:editId="5C1FCB1A">
                <wp:simplePos x="0" y="0"/>
                <wp:positionH relativeFrom="margin">
                  <wp:posOffset>-103505</wp:posOffset>
                </wp:positionH>
                <wp:positionV relativeFrom="paragraph">
                  <wp:posOffset>115570</wp:posOffset>
                </wp:positionV>
                <wp:extent cx="6774180" cy="7620"/>
                <wp:effectExtent l="0" t="0" r="26670" b="30480"/>
                <wp:wrapNone/>
                <wp:docPr id="1222789453" name="Straight Connector 4"/>
                <wp:cNvGraphicFramePr/>
                <a:graphic xmlns:a="http://schemas.openxmlformats.org/drawingml/2006/main">
                  <a:graphicData uri="http://schemas.microsoft.com/office/word/2010/wordprocessingShape">
                    <wps:wsp>
                      <wps:cNvCnPr/>
                      <wps:spPr>
                        <a:xfrm flipV="1">
                          <a:off x="0" y="0"/>
                          <a:ext cx="67741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EB8F0"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15pt,9.1pt" to="52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" strokecolor="black [3200]" strokeweight=".5pt">
                <v:stroke joinstyle="miter"/>
                <w10:wrap anchorx="margin"/>
              </v:line>
            </w:pict>
          </mc:Fallback>
        </mc:AlternateContent>
      </w:r>
    </w:p>
    <w:p w14:paraId="3B98E82E" w14:textId="17AB4ED9" w:rsidR="00513AE3" w:rsidRDefault="00513AE3" w:rsidP="00CB613B">
      <w:pPr>
        <w:spacing w:line="360" w:lineRule="auto"/>
        <w:jc w:val="both"/>
        <w:rPr>
          <w:rFonts w:cs="Times New Roman"/>
          <w:b/>
          <w:bCs/>
          <w:color w:val="000000" w:themeColor="text1"/>
          <w:lang w:val="en-US"/>
        </w:rPr>
      </w:pPr>
    </w:p>
    <w:p w14:paraId="289D9BCC" w14:textId="4D62D9D0" w:rsidR="00BD1933" w:rsidRPr="00CB613B" w:rsidRDefault="00BD1933" w:rsidP="00CB613B">
      <w:pPr>
        <w:spacing w:line="360" w:lineRule="auto"/>
        <w:jc w:val="both"/>
        <w:rPr>
          <w:rFonts w:cs="Times New Roman"/>
          <w:b/>
          <w:bCs/>
          <w:color w:val="000000" w:themeColor="text1"/>
          <w:lang w:val="en-US"/>
        </w:rPr>
      </w:pPr>
      <w:proofErr w:type="gramStart"/>
      <w:r w:rsidRPr="00CB613B">
        <w:rPr>
          <w:rFonts w:cs="Times New Roman"/>
          <w:b/>
          <w:bCs/>
          <w:color w:val="000000" w:themeColor="text1"/>
          <w:lang w:val="en-US"/>
        </w:rPr>
        <w:t>1.1  ABSTRACT</w:t>
      </w:r>
      <w:proofErr w:type="gramEnd"/>
    </w:p>
    <w:p w14:paraId="416EB94D" w14:textId="77777777" w:rsidR="00BD1933" w:rsidRPr="00CB613B" w:rsidRDefault="00BD1933" w:rsidP="00CB613B">
      <w:pPr>
        <w:spacing w:line="360" w:lineRule="auto"/>
        <w:jc w:val="both"/>
        <w:rPr>
          <w:rFonts w:cs="Times New Roman"/>
          <w:i/>
          <w:iCs/>
          <w:color w:val="000000" w:themeColor="text1"/>
          <w:lang w:val="en-US"/>
        </w:rPr>
      </w:pPr>
      <w:r w:rsidRPr="00CB613B">
        <w:rPr>
          <w:rFonts w:cs="Times New Roman"/>
          <w:i/>
          <w:iCs/>
          <w:color w:val="000000" w:themeColor="text1"/>
          <w:lang w:val="en-US"/>
        </w:rPr>
        <w:t>The business environment is shaped by a complex interplay of external factors, including economic conditions, technological advancements, regulatory changes, and socio-cultural shifts. These external influences present both opportunities and challenges, compelling organizations to adapt and innovate for long-term sustainability. This project explores the impact of external environmental factors on business operations, focusing on how companies navigate challenges such as market volatility, digital transformation, legal compliance, and evolving consumer expectations.</w:t>
      </w:r>
    </w:p>
    <w:p w14:paraId="3225681F" w14:textId="3F751B94" w:rsidR="00513AE3" w:rsidRDefault="00BD1933" w:rsidP="00CB613B">
      <w:pPr>
        <w:spacing w:line="360" w:lineRule="auto"/>
        <w:jc w:val="both"/>
        <w:rPr>
          <w:rFonts w:cs="Times New Roman"/>
          <w:i/>
          <w:iCs/>
          <w:color w:val="000000" w:themeColor="text1"/>
          <w:lang w:val="en-US"/>
        </w:rPr>
      </w:pPr>
      <w:r w:rsidRPr="00CB613B">
        <w:rPr>
          <w:rFonts w:cs="Times New Roman"/>
          <w:i/>
          <w:iCs/>
          <w:color w:val="000000" w:themeColor="text1"/>
          <w:lang w:val="en-US"/>
        </w:rPr>
        <w:t xml:space="preserve">A key analytical tool used in this research is SWOT analysis, which helps businesses assess their internal strengths and weaknesses while identifying external opportunities and threats. The research also incorporates frameworks like PESTEL analysis to examine macro-environmental factors, providing a comprehensive view of the external forces that shape corporate strategy. Businesses must adopt proactive </w:t>
      </w:r>
    </w:p>
    <w:p w14:paraId="1AAC6D51" w14:textId="77777777" w:rsidR="00513AE3" w:rsidRDefault="00513AE3" w:rsidP="00CB613B">
      <w:pPr>
        <w:spacing w:line="360" w:lineRule="auto"/>
        <w:jc w:val="both"/>
        <w:rPr>
          <w:rFonts w:cs="Times New Roman"/>
          <w:i/>
          <w:iCs/>
          <w:color w:val="000000" w:themeColor="text1"/>
          <w:lang w:val="en-US"/>
        </w:rPr>
      </w:pPr>
    </w:p>
    <w:p w14:paraId="33104B63" w14:textId="77777777" w:rsidR="00513AE3" w:rsidRDefault="00513AE3" w:rsidP="00CB613B">
      <w:pPr>
        <w:spacing w:line="360" w:lineRule="auto"/>
        <w:jc w:val="both"/>
        <w:rPr>
          <w:rFonts w:cs="Times New Roman"/>
          <w:i/>
          <w:iCs/>
          <w:color w:val="000000" w:themeColor="text1"/>
          <w:lang w:val="en-US"/>
        </w:rPr>
      </w:pPr>
    </w:p>
    <w:p w14:paraId="204D9553" w14:textId="77777777" w:rsidR="00513AE3" w:rsidRDefault="00513AE3" w:rsidP="00CB613B">
      <w:pPr>
        <w:spacing w:line="360" w:lineRule="auto"/>
        <w:jc w:val="both"/>
        <w:rPr>
          <w:rFonts w:cs="Times New Roman"/>
          <w:i/>
          <w:iCs/>
          <w:color w:val="000000" w:themeColor="text1"/>
          <w:lang w:val="en-US"/>
        </w:rPr>
      </w:pPr>
    </w:p>
    <w:p w14:paraId="026B6C3A" w14:textId="77777777" w:rsidR="00513AE3" w:rsidRDefault="00513AE3" w:rsidP="00CB613B">
      <w:pPr>
        <w:spacing w:line="360" w:lineRule="auto"/>
        <w:jc w:val="both"/>
        <w:rPr>
          <w:rFonts w:cs="Times New Roman"/>
          <w:i/>
          <w:iCs/>
          <w:color w:val="000000" w:themeColor="text1"/>
          <w:lang w:val="en-US"/>
        </w:rPr>
      </w:pPr>
    </w:p>
    <w:p w14:paraId="6709B596" w14:textId="77777777" w:rsidR="00513AE3" w:rsidRDefault="00513AE3" w:rsidP="00CB613B">
      <w:pPr>
        <w:spacing w:line="360" w:lineRule="auto"/>
        <w:jc w:val="both"/>
        <w:rPr>
          <w:rFonts w:cs="Times New Roman"/>
          <w:i/>
          <w:iCs/>
          <w:color w:val="000000" w:themeColor="text1"/>
          <w:lang w:val="en-US"/>
        </w:rPr>
      </w:pPr>
    </w:p>
    <w:p w14:paraId="5248284F" w14:textId="77777777" w:rsidR="00513AE3" w:rsidRDefault="00513AE3" w:rsidP="00CB613B">
      <w:pPr>
        <w:spacing w:line="360" w:lineRule="auto"/>
        <w:jc w:val="both"/>
        <w:rPr>
          <w:rFonts w:cs="Times New Roman"/>
          <w:i/>
          <w:iCs/>
          <w:color w:val="000000" w:themeColor="text1"/>
          <w:lang w:val="en-US"/>
        </w:rPr>
      </w:pPr>
    </w:p>
    <w:p w14:paraId="5546595B" w14:textId="77777777" w:rsidR="00513AE3" w:rsidRDefault="00513AE3" w:rsidP="00CB613B">
      <w:pPr>
        <w:spacing w:line="360" w:lineRule="auto"/>
        <w:jc w:val="both"/>
        <w:rPr>
          <w:rFonts w:cs="Times New Roman"/>
          <w:i/>
          <w:iCs/>
          <w:color w:val="000000" w:themeColor="text1"/>
          <w:lang w:val="en-US"/>
        </w:rPr>
      </w:pPr>
    </w:p>
    <w:p w14:paraId="2EBF63DD" w14:textId="77777777" w:rsidR="00513AE3" w:rsidRDefault="00513AE3" w:rsidP="00CB613B">
      <w:pPr>
        <w:spacing w:line="360" w:lineRule="auto"/>
        <w:jc w:val="both"/>
        <w:rPr>
          <w:rFonts w:cs="Times New Roman"/>
          <w:i/>
          <w:iCs/>
          <w:color w:val="000000" w:themeColor="text1"/>
          <w:lang w:val="en-US"/>
        </w:rPr>
      </w:pPr>
    </w:p>
    <w:p w14:paraId="4FC790CB" w14:textId="7F66E4EE" w:rsidR="00BD1933" w:rsidRPr="00CB613B" w:rsidRDefault="00BD1933" w:rsidP="00CB613B">
      <w:pPr>
        <w:spacing w:line="360" w:lineRule="auto"/>
        <w:jc w:val="both"/>
        <w:rPr>
          <w:rFonts w:cs="Times New Roman"/>
          <w:i/>
          <w:iCs/>
          <w:color w:val="000000" w:themeColor="text1"/>
          <w:lang w:val="en-US"/>
        </w:rPr>
      </w:pPr>
      <w:r w:rsidRPr="00CB613B">
        <w:rPr>
          <w:rFonts w:cs="Times New Roman"/>
          <w:i/>
          <w:iCs/>
          <w:color w:val="000000" w:themeColor="text1"/>
          <w:lang w:val="en-US"/>
        </w:rPr>
        <w:t>technological integration to mitigate risks and capitalize on emerging trends.</w:t>
      </w:r>
    </w:p>
    <w:p w14:paraId="360AA313" w14:textId="7F152309" w:rsidR="00BD1933" w:rsidRPr="00CB613B" w:rsidRDefault="00BD1933" w:rsidP="00CB613B">
      <w:pPr>
        <w:spacing w:line="360" w:lineRule="auto"/>
        <w:jc w:val="both"/>
        <w:rPr>
          <w:rFonts w:cs="Times New Roman"/>
          <w:i/>
          <w:iCs/>
          <w:color w:val="000000" w:themeColor="text1"/>
          <w:lang w:val="en-US"/>
        </w:rPr>
      </w:pPr>
      <w:r w:rsidRPr="00CB613B">
        <w:rPr>
          <w:rFonts w:cs="Times New Roman"/>
          <w:i/>
          <w:iCs/>
          <w:color w:val="000000" w:themeColor="text1"/>
          <w:lang w:val="en-US"/>
        </w:rPr>
        <w:t>The project concludes that organizations that systematically analyze and adapt to external challenges are more resilient and better positioned for growth in a rapidly changing global economy. By understanding the dynamic business environment, companies can make informed decisions, enhance operational efficiency, and achieve sustainable success.</w:t>
      </w:r>
    </w:p>
    <w:p w14:paraId="659D1C14" w14:textId="7562B573"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w:t>
      </w:r>
    </w:p>
    <w:p w14:paraId="270031F8" w14:textId="392F45FF"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1.2 INTRODUCTION</w:t>
      </w:r>
    </w:p>
    <w:p w14:paraId="3AF2DFA8" w14:textId="77777777" w:rsidR="00BD1933" w:rsidRPr="00CB613B" w:rsidRDefault="00BD1933" w:rsidP="00CB613B">
      <w:pPr>
        <w:spacing w:line="360" w:lineRule="auto"/>
        <w:jc w:val="both"/>
        <w:rPr>
          <w:rFonts w:cs="Times New Roman"/>
          <w:color w:val="000000" w:themeColor="text1"/>
          <w:lang w:val="en-US"/>
        </w:rPr>
      </w:pPr>
    </w:p>
    <w:p w14:paraId="155CD290" w14:textId="7C556A19" w:rsidR="00F9529E" w:rsidRPr="00F9529E" w:rsidRDefault="00F9529E" w:rsidP="00F9529E">
      <w:pPr>
        <w:spacing w:line="360" w:lineRule="auto"/>
        <w:jc w:val="both"/>
        <w:rPr>
          <w:rFonts w:cs="Times New Roman"/>
          <w:color w:val="000000" w:themeColor="text1"/>
        </w:rPr>
      </w:pPr>
      <w:r w:rsidRPr="00F9529E">
        <w:rPr>
          <w:rFonts w:cs="Times New Roman"/>
          <w:color w:val="000000" w:themeColor="text1"/>
        </w:rPr>
        <w:t>In an era defined by global interconnectivity and constant transformation, organizations operate amid a wide array of external influences that critically shape their strategic decision-making. These factors</w:t>
      </w:r>
      <w:r>
        <w:rPr>
          <w:rFonts w:cs="Times New Roman"/>
          <w:color w:val="000000" w:themeColor="text1"/>
        </w:rPr>
        <w:t xml:space="preserve"> </w:t>
      </w:r>
      <w:r w:rsidRPr="00F9529E">
        <w:rPr>
          <w:rFonts w:cs="Times New Roman"/>
          <w:color w:val="000000" w:themeColor="text1"/>
        </w:rPr>
        <w:t>ranging from economic dynamics and technological advancements to regulatory changes and socio-cultural shifts</w:t>
      </w:r>
      <w:r>
        <w:rPr>
          <w:rFonts w:cs="Times New Roman"/>
          <w:color w:val="000000" w:themeColor="text1"/>
        </w:rPr>
        <w:t xml:space="preserve"> </w:t>
      </w:r>
      <w:r w:rsidRPr="00F9529E">
        <w:rPr>
          <w:rFonts w:cs="Times New Roman"/>
          <w:color w:val="000000" w:themeColor="text1"/>
        </w:rPr>
        <w:t>create an intricate environment that corporate leaders must skilfully navigate to retain competitive strength and ensure enduring success.</w:t>
      </w:r>
    </w:p>
    <w:p w14:paraId="25069CCE" w14:textId="77777777" w:rsidR="00F9529E" w:rsidRPr="00F9529E" w:rsidRDefault="00F9529E" w:rsidP="00F9529E">
      <w:pPr>
        <w:spacing w:line="360" w:lineRule="auto"/>
        <w:jc w:val="both"/>
        <w:rPr>
          <w:rFonts w:cs="Times New Roman"/>
          <w:color w:val="000000" w:themeColor="text1"/>
        </w:rPr>
      </w:pPr>
      <w:r w:rsidRPr="00F9529E">
        <w:rPr>
          <w:rFonts w:cs="Times New Roman"/>
          <w:color w:val="000000" w:themeColor="text1"/>
        </w:rPr>
        <w:lastRenderedPageBreak/>
        <w:t>As enterprises broaden their presence across international frontiers, they confront heightened challenges such as geopolitical uncertainty, trade restrictions, currency volatility, and disruptions within the supply chain, each bearing significant implications for profitability and long-term sustainability. For instance, economic fluctuations may trigger shifts in consumer spending habits, thereby influencing demand patterns, investment decisions, and financial projections. Similarly, rapid technological evolution continues to redefine established business models, offering opportunities for growth while simultaneously placing pressure on traditional organizations to adapt swiftly. With the accelerated rise of artificial intelligence, automation, and digital infrastructure, companies must persistently reinvent their operations to remain competitive.</w:t>
      </w:r>
    </w:p>
    <w:p w14:paraId="09BA510C" w14:textId="10C61487" w:rsidR="00F9529E" w:rsidRPr="00F9529E" w:rsidRDefault="00F9529E" w:rsidP="00F9529E">
      <w:pPr>
        <w:spacing w:line="360" w:lineRule="auto"/>
        <w:jc w:val="both"/>
        <w:rPr>
          <w:rFonts w:cs="Times New Roman"/>
          <w:color w:val="000000" w:themeColor="text1"/>
        </w:rPr>
      </w:pPr>
      <w:r w:rsidRPr="00F9529E">
        <w:rPr>
          <w:rFonts w:cs="Times New Roman"/>
          <w:color w:val="000000" w:themeColor="text1"/>
        </w:rPr>
        <w:t>Evolving regulatory frameworks</w:t>
      </w:r>
      <w:r>
        <w:rPr>
          <w:rFonts w:cs="Times New Roman"/>
          <w:color w:val="000000" w:themeColor="text1"/>
        </w:rPr>
        <w:t xml:space="preserve"> </w:t>
      </w:r>
      <w:r w:rsidRPr="00F9529E">
        <w:rPr>
          <w:rFonts w:cs="Times New Roman"/>
          <w:color w:val="000000" w:themeColor="text1"/>
        </w:rPr>
        <w:t>through new policies, compliance obligations, and sector-specific standards</w:t>
      </w:r>
      <w:r>
        <w:rPr>
          <w:rFonts w:cs="Times New Roman"/>
          <w:color w:val="000000" w:themeColor="text1"/>
        </w:rPr>
        <w:t xml:space="preserve"> </w:t>
      </w:r>
      <w:r w:rsidRPr="00F9529E">
        <w:rPr>
          <w:rFonts w:cs="Times New Roman"/>
          <w:color w:val="000000" w:themeColor="text1"/>
        </w:rPr>
        <w:t xml:space="preserve">demand that organizations periodically recalibrate their strategies to uphold legal integrity and ethical consistency. Failure to comply can lead to monetary losses, reputational harm, and structural inefficiencies, underscoring the importance of regulatory vigilance as a core component of corporate governance. Moreover, socio-cultural transformations, spurred by changing customer expectations, the pursuit of inclusivity, and expanding social consciousness, compel firms to stay responsive and conscientious in their practices. Those that neglect alignment with contemporary societal values risk a decline in market relevance and consumer loyalty, </w:t>
      </w:r>
      <w:r w:rsidRPr="00F9529E">
        <w:rPr>
          <w:rFonts w:cs="Times New Roman"/>
          <w:color w:val="000000" w:themeColor="text1"/>
        </w:rPr>
        <w:t>particularly as socially responsible competitors gain traction.</w:t>
      </w:r>
    </w:p>
    <w:p w14:paraId="234A5D9A" w14:textId="5B568313" w:rsidR="00BD1933" w:rsidRPr="00F9529E" w:rsidRDefault="00F9529E" w:rsidP="00CB613B">
      <w:pPr>
        <w:spacing w:line="360" w:lineRule="auto"/>
        <w:jc w:val="both"/>
        <w:rPr>
          <w:rFonts w:cs="Times New Roman"/>
          <w:color w:val="000000" w:themeColor="text1"/>
        </w:rPr>
      </w:pPr>
      <w:r w:rsidRPr="00F9529E">
        <w:rPr>
          <w:rFonts w:cs="Times New Roman"/>
          <w:color w:val="000000" w:themeColor="text1"/>
        </w:rPr>
        <w:t>Ultimately, by nurturing innovation, investing in human capital, and embracing technological evolution, corporations can transform external challenges into strategic opportunities, fostering sustainable progress and ensuring resilience in an unpredictable global marketplace.</w:t>
      </w:r>
      <w:r>
        <w:rPr>
          <w:rFonts w:cs="Times New Roman"/>
          <w:color w:val="000000" w:themeColor="text1"/>
        </w:rPr>
        <w:t xml:space="preserve"> </w:t>
      </w:r>
      <w:r w:rsidR="00BD1933" w:rsidRPr="00CB613B">
        <w:rPr>
          <w:rFonts w:cs="Times New Roman"/>
          <w:color w:val="000000" w:themeColor="text1"/>
          <w:lang w:val="en-US"/>
        </w:rPr>
        <w:t>(</w:t>
      </w:r>
      <w:proofErr w:type="spellStart"/>
      <w:r w:rsidR="00BD1933" w:rsidRPr="00CB613B">
        <w:rPr>
          <w:rFonts w:cs="Times New Roman"/>
          <w:color w:val="000000" w:themeColor="text1"/>
          <w:lang w:val="en-US"/>
        </w:rPr>
        <w:t>Alawwad</w:t>
      </w:r>
      <w:proofErr w:type="spellEnd"/>
      <w:r w:rsidR="00BD1933" w:rsidRPr="00CB613B">
        <w:rPr>
          <w:rFonts w:cs="Times New Roman"/>
          <w:color w:val="000000" w:themeColor="text1"/>
          <w:lang w:val="en-US"/>
        </w:rPr>
        <w:t>, 2024)</w:t>
      </w:r>
    </w:p>
    <w:p w14:paraId="4A07DEFC" w14:textId="39AB48FD"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1.3       RESEARCH OBJECTIVES</w:t>
      </w:r>
    </w:p>
    <w:p w14:paraId="791337B6" w14:textId="77777777" w:rsidR="00CB613B" w:rsidRPr="00CB613B" w:rsidRDefault="00CB613B" w:rsidP="00CB613B">
      <w:pPr>
        <w:spacing w:line="360" w:lineRule="auto"/>
        <w:jc w:val="both"/>
        <w:rPr>
          <w:rFonts w:cs="Times New Roman"/>
          <w:color w:val="000000" w:themeColor="text1"/>
          <w:lang w:val="en-US"/>
        </w:rPr>
      </w:pPr>
    </w:p>
    <w:p w14:paraId="2B025778" w14:textId="77777777" w:rsidR="00BD1933" w:rsidRPr="00CB613B" w:rsidRDefault="00BD1933" w:rsidP="00CB613B">
      <w:pPr>
        <w:pStyle w:val="ListParagraph"/>
        <w:numPr>
          <w:ilvl w:val="0"/>
          <w:numId w:val="14"/>
        </w:numPr>
        <w:spacing w:line="360" w:lineRule="auto"/>
        <w:jc w:val="both"/>
        <w:rPr>
          <w:rFonts w:cs="Times New Roman"/>
          <w:color w:val="000000" w:themeColor="text1"/>
          <w:lang w:val="en-US"/>
        </w:rPr>
      </w:pPr>
      <w:r w:rsidRPr="00CB613B">
        <w:rPr>
          <w:rFonts w:cs="Times New Roman"/>
          <w:color w:val="000000" w:themeColor="text1"/>
          <w:lang w:val="en-US"/>
        </w:rPr>
        <w:t>To identify the key external factors that influence business operations, including economic, political, social, technological, environmental, and legal factors.</w:t>
      </w:r>
    </w:p>
    <w:p w14:paraId="13E25BFB" w14:textId="77777777" w:rsidR="00BD1933" w:rsidRPr="00CB613B" w:rsidRDefault="00BD1933" w:rsidP="00CB613B">
      <w:pPr>
        <w:spacing w:line="360" w:lineRule="auto"/>
        <w:jc w:val="both"/>
        <w:rPr>
          <w:rFonts w:cs="Times New Roman"/>
          <w:color w:val="000000" w:themeColor="text1"/>
          <w:lang w:val="en-US"/>
        </w:rPr>
      </w:pPr>
    </w:p>
    <w:p w14:paraId="145ADAE1" w14:textId="2F3259C9" w:rsidR="00BD1933" w:rsidRPr="00CB613B" w:rsidRDefault="00BD1933" w:rsidP="00CB613B">
      <w:pPr>
        <w:pStyle w:val="ListParagraph"/>
        <w:numPr>
          <w:ilvl w:val="0"/>
          <w:numId w:val="14"/>
        </w:numPr>
        <w:spacing w:line="360" w:lineRule="auto"/>
        <w:jc w:val="both"/>
        <w:rPr>
          <w:rFonts w:cs="Times New Roman"/>
          <w:color w:val="000000" w:themeColor="text1"/>
          <w:lang w:val="en-US"/>
        </w:rPr>
      </w:pPr>
      <w:r w:rsidRPr="00CB613B">
        <w:rPr>
          <w:rFonts w:cs="Times New Roman"/>
          <w:color w:val="000000" w:themeColor="text1"/>
          <w:lang w:val="en-US"/>
        </w:rPr>
        <w:t xml:space="preserve">To </w:t>
      </w:r>
      <w:proofErr w:type="spellStart"/>
      <w:r w:rsidRPr="00CB613B">
        <w:rPr>
          <w:rFonts w:cs="Times New Roman"/>
          <w:color w:val="000000" w:themeColor="text1"/>
          <w:lang w:val="en-US"/>
        </w:rPr>
        <w:t>analyse</w:t>
      </w:r>
      <w:proofErr w:type="spellEnd"/>
      <w:r w:rsidRPr="00CB613B">
        <w:rPr>
          <w:rFonts w:cs="Times New Roman"/>
          <w:color w:val="000000" w:themeColor="text1"/>
          <w:lang w:val="en-US"/>
        </w:rPr>
        <w:t xml:space="preserve"> how these external factors create challenges for businesses in terms of growth, stability, and competitiveness.</w:t>
      </w:r>
    </w:p>
    <w:p w14:paraId="13491696" w14:textId="6A2F449E" w:rsidR="00BD1933" w:rsidRPr="00CB613B" w:rsidRDefault="00BD1933" w:rsidP="00CB613B">
      <w:pPr>
        <w:pStyle w:val="ListParagraph"/>
        <w:numPr>
          <w:ilvl w:val="0"/>
          <w:numId w:val="14"/>
        </w:numPr>
        <w:spacing w:line="360" w:lineRule="auto"/>
        <w:jc w:val="both"/>
        <w:rPr>
          <w:rFonts w:cs="Times New Roman"/>
          <w:color w:val="000000" w:themeColor="text1"/>
          <w:lang w:val="en-US"/>
        </w:rPr>
      </w:pPr>
      <w:r w:rsidRPr="00CB613B">
        <w:rPr>
          <w:rFonts w:cs="Times New Roman"/>
          <w:color w:val="000000" w:themeColor="text1"/>
          <w:lang w:val="en-US"/>
        </w:rPr>
        <w:t>To examine the strategies businesses adopt to mitigate risks and adapt to external challenges effectively.</w:t>
      </w:r>
    </w:p>
    <w:p w14:paraId="75F43674" w14:textId="77777777" w:rsidR="00BD1933" w:rsidRPr="00CB613B" w:rsidRDefault="00BD1933" w:rsidP="00CB613B">
      <w:pPr>
        <w:pStyle w:val="ListParagraph"/>
        <w:numPr>
          <w:ilvl w:val="0"/>
          <w:numId w:val="14"/>
        </w:numPr>
        <w:spacing w:line="360" w:lineRule="auto"/>
        <w:jc w:val="both"/>
        <w:rPr>
          <w:rFonts w:cs="Times New Roman"/>
          <w:color w:val="000000" w:themeColor="text1"/>
          <w:lang w:val="en-US"/>
        </w:rPr>
      </w:pPr>
      <w:r w:rsidRPr="00CB613B">
        <w:rPr>
          <w:rFonts w:cs="Times New Roman"/>
          <w:color w:val="000000" w:themeColor="text1"/>
          <w:lang w:val="en-US"/>
        </w:rPr>
        <w:t>To evaluate the impact of external challenges on business decision-making, performance, and long-term sustainability.</w:t>
      </w:r>
    </w:p>
    <w:p w14:paraId="31E867CC" w14:textId="51ABC555" w:rsidR="00BD1933" w:rsidRPr="00CB613B" w:rsidRDefault="00BD1933" w:rsidP="00CB613B">
      <w:pPr>
        <w:pStyle w:val="ListParagraph"/>
        <w:spacing w:line="360" w:lineRule="auto"/>
        <w:ind w:left="360"/>
        <w:jc w:val="both"/>
        <w:rPr>
          <w:rFonts w:cs="Times New Roman"/>
          <w:color w:val="000000" w:themeColor="text1"/>
          <w:lang w:val="en-US"/>
        </w:rPr>
      </w:pPr>
    </w:p>
    <w:p w14:paraId="3BE2D766"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REVIEW OF LITERATURE</w:t>
      </w:r>
    </w:p>
    <w:p w14:paraId="086E392D" w14:textId="77777777" w:rsidR="00BD1933" w:rsidRPr="00CB613B" w:rsidRDefault="00BD1933" w:rsidP="00CB613B">
      <w:pPr>
        <w:spacing w:line="360" w:lineRule="auto"/>
        <w:jc w:val="both"/>
        <w:rPr>
          <w:rFonts w:cs="Times New Roman"/>
          <w:color w:val="000000" w:themeColor="text1"/>
          <w:lang w:val="en-US"/>
        </w:rPr>
      </w:pPr>
    </w:p>
    <w:p w14:paraId="07943404"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"Business Environment: An Environmental Analysis and Forecasting to Safeguard the Business" by Dr. Pawan Sharma and Rhythm Mukherjee provides a comprehensive examination of the complexities businesses face due to external factors. The authors emphasize the dynamic and </w:t>
      </w:r>
      <w:r w:rsidRPr="00CB613B">
        <w:rPr>
          <w:rFonts w:cs="Times New Roman"/>
          <w:color w:val="000000" w:themeColor="text1"/>
          <w:lang w:val="en-US"/>
        </w:rPr>
        <w:lastRenderedPageBreak/>
        <w:t>unpredictable nature of the business environment, highlighting the significance of external influences such as political, economic, social, technological, and legal factors. They assert that businesses must continuously assess and adapt to these changes to remain competitive and sustainable in an evolving marketplace. The study underscores that environmental analysis is a critical strategic tool that enables businesses to anticipate risks, identify opportunities, and make informed decisions that align with market trends and regulatory developments.</w:t>
      </w:r>
    </w:p>
    <w:p w14:paraId="5B9C2790"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A major focus of the literature is environmental analysis, which involves systematic methods to evaluate external factors affecting business performance. The study introduces frameworks like PESTEL and SWOT analysis, which allow businesses to assess macro-environmental and industry specific factors. Through market research, trend analysis, scenario planning, and competitive intelligence, organizations can better understand emerging risks and align their strategies accordingly. The literature also discusses environmental scanning, a technique that involves continuously monitoring market conditions, regulatory updates, and technological advancements to help businesses proactively address external challenges. The authors argue that failing to assess the external environment may lead to inefficiencies, regulatory non-compliance, or loss of market relevance.</w:t>
      </w:r>
    </w:p>
    <w:p w14:paraId="10A69C4D"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Another crucial aspect discussed is environmental forecasting, which helps businesses anticipate future changes and adapt accordingly. The authors </w:t>
      </w:r>
      <w:r w:rsidRPr="00CB613B">
        <w:rPr>
          <w:rFonts w:cs="Times New Roman"/>
          <w:color w:val="000000" w:themeColor="text1"/>
          <w:lang w:val="en-US"/>
        </w:rPr>
        <w:t>highlight various forecasting techniques, including judgment models, the Delphi method, brainstorming, strategic analysis, econometric techniques, and scenario forecasting. These methods enable businesses to predict industry trends, assess potential regulatory shifts, and prepare for socio-economic disruptions. The study emphasizes that businesses must integrate both qualitative and quantitative forecasting approaches to ensure comprehensive risk management and strategic planning.</w:t>
      </w:r>
    </w:p>
    <w:p w14:paraId="62C6F968"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w:t>
      </w:r>
    </w:p>
    <w:p w14:paraId="065AF6E8"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"The Influence of External Factors on Corporate Strategy and Strategies for Adaptation in Light of Global Challenges" by Dr. Arwa Mohammed Alawwad explores how businesses are affected by external factors such as economic conditions, technological advancements, regulatory changes, and socio-cultural shifts. The study highlights that in today’s fast-changing global environment, businesses must not only respond to external challenges but also anticipate and prepare for them to remain competitive. The research, based on a survey of 116 corporate executives from different industries, reveals that economic fluctuations and rapid technological changes are among the most influential external factors affecting corporate strategies. Organizations that adapt quickly to these changes tend to be more resilient and competitive in the long run.</w:t>
      </w:r>
    </w:p>
    <w:p w14:paraId="6ABED9E0" w14:textId="77777777" w:rsidR="00BD1933" w:rsidRPr="00CB613B" w:rsidRDefault="00BD1933" w:rsidP="00CB613B">
      <w:pPr>
        <w:spacing w:line="360" w:lineRule="auto"/>
        <w:jc w:val="both"/>
        <w:rPr>
          <w:rFonts w:cs="Times New Roman"/>
          <w:color w:val="000000" w:themeColor="text1"/>
          <w:lang w:val="en-US"/>
        </w:rPr>
      </w:pPr>
    </w:p>
    <w:p w14:paraId="36B95E09"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The study emphasizes the importance of strategic adaptation, which involves businesses adjusting their operations, policies, and decision-making </w:t>
      </w:r>
      <w:r w:rsidRPr="00CB613B">
        <w:rPr>
          <w:rFonts w:cs="Times New Roman"/>
          <w:color w:val="000000" w:themeColor="text1"/>
          <w:lang w:val="en-US"/>
        </w:rPr>
        <w:lastRenderedPageBreak/>
        <w:t>frameworks to align with external conditions. Companies that integrate external insights into their strategies tend to perform better in uncertain environments. The research identifies various adaptation strategies, including investment in market research, flexible strategic planning, and fostering a culture of innovation. The findings suggest that businesses that continuously update their strategies based on external factors have a higher likelihood of sustaining growth and success.</w:t>
      </w:r>
    </w:p>
    <w:p w14:paraId="00595C2F" w14:textId="77777777" w:rsidR="00BD1933" w:rsidRPr="00CB613B" w:rsidRDefault="00BD1933" w:rsidP="00CB613B">
      <w:pPr>
        <w:spacing w:line="360" w:lineRule="auto"/>
        <w:jc w:val="both"/>
        <w:rPr>
          <w:rFonts w:cs="Times New Roman"/>
          <w:color w:val="000000" w:themeColor="text1"/>
          <w:lang w:val="en-US"/>
        </w:rPr>
      </w:pPr>
    </w:p>
    <w:p w14:paraId="7BE85965" w14:textId="4D6955C5"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One of the major takeaways from the literature is the role of economic fluctuations in shaping business decisions. Changes in inflation rates, exchange rates, and market demand directly impact pricing strategies, supply chain management, and financial planning. Companies that monitor these economic indicators and adjust their strategies accordingly are more likely to survive economic downturns. Additionally, technological advancements are highlighted as a major disruptor in the business environment. The study discusses how digital transformation, automation, and artificial intelligence force businesses to rethink their operations, customer interactions, and competitive strategies. Companies that invest in technological innovation gain a strategic advantage, whereas those that fail to keep up with emerging trends risk obsolescence.</w:t>
      </w:r>
    </w:p>
    <w:p w14:paraId="1BBA6AC9" w14:textId="77777777" w:rsidR="00BD1933" w:rsidRPr="00CB613B" w:rsidRDefault="00BD1933" w:rsidP="00CB613B">
      <w:pPr>
        <w:spacing w:line="360" w:lineRule="auto"/>
        <w:jc w:val="both"/>
        <w:rPr>
          <w:rFonts w:cs="Times New Roman"/>
          <w:color w:val="000000" w:themeColor="text1"/>
          <w:lang w:val="en-US"/>
        </w:rPr>
      </w:pPr>
    </w:p>
    <w:p w14:paraId="599F547E"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The paper titled "</w:t>
      </w:r>
      <w:proofErr w:type="spellStart"/>
      <w:r w:rsidRPr="00CB613B">
        <w:rPr>
          <w:rFonts w:cs="Times New Roman"/>
          <w:color w:val="000000" w:themeColor="text1"/>
          <w:lang w:val="en-US"/>
        </w:rPr>
        <w:t>Analysing</w:t>
      </w:r>
      <w:proofErr w:type="spellEnd"/>
      <w:r w:rsidRPr="00CB613B">
        <w:rPr>
          <w:rFonts w:cs="Times New Roman"/>
          <w:color w:val="000000" w:themeColor="text1"/>
          <w:lang w:val="en-US"/>
        </w:rPr>
        <w:t xml:space="preserve"> the External Environment of Business" delves into the intricate </w:t>
      </w:r>
      <w:r w:rsidRPr="00CB613B">
        <w:rPr>
          <w:rFonts w:cs="Times New Roman"/>
          <w:color w:val="000000" w:themeColor="text1"/>
          <w:lang w:val="en-US"/>
        </w:rPr>
        <w:t>relationship between businesses and their external environments. The authors explore how business decisions are influenced by external factors and, conversely, how these decisions can impact the environment in which businesses operate. The dynamic nature of the business environment necessitates that organizations remain vigilant and adaptable to changes, ensuring they are prepared to respond effectively.</w:t>
      </w:r>
    </w:p>
    <w:p w14:paraId="50795DCF"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A significant aspect discussed in the paper is the five forces analysis, which serves as a framework for understanding the competitive landscape of an industry. This analysis helps in assessing the potential profitability within the industry by examining various competitive forces at play. The authors emphasize the importance of this analytical tool in guiding strategic business decisions, allowing managers to navigate challenges and seize opportunities in their respective markets </w:t>
      </w:r>
    </w:p>
    <w:p w14:paraId="5B10A796" w14:textId="77777777" w:rsidR="00BD1933" w:rsidRPr="00CB613B" w:rsidRDefault="00BD1933" w:rsidP="00CB613B">
      <w:pPr>
        <w:spacing w:line="360" w:lineRule="auto"/>
        <w:jc w:val="both"/>
        <w:rPr>
          <w:rFonts w:cs="Times New Roman"/>
          <w:color w:val="000000" w:themeColor="text1"/>
          <w:lang w:val="en-US"/>
        </w:rPr>
      </w:pPr>
    </w:p>
    <w:p w14:paraId="28FA1A15"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Additionally, the paper highlights the role of technological advancements in shaping business operations. The authors argue that technological changes not only create new avenues for reaching customers but also transform traditional methods of working. This evolution underscores the necessity for businesses to embrace innovation and adapt to new technologies to maintain a competitive edge.</w:t>
      </w:r>
    </w:p>
    <w:p w14:paraId="1DC76362" w14:textId="77777777" w:rsidR="00BD1933" w:rsidRPr="00CB613B" w:rsidRDefault="00BD1933" w:rsidP="00CB613B">
      <w:pPr>
        <w:spacing w:line="360" w:lineRule="auto"/>
        <w:jc w:val="both"/>
        <w:rPr>
          <w:rFonts w:cs="Times New Roman"/>
          <w:color w:val="000000" w:themeColor="text1"/>
          <w:lang w:val="en-US"/>
        </w:rPr>
      </w:pPr>
    </w:p>
    <w:p w14:paraId="053C7295" w14:textId="77777777" w:rsidR="00BD1933" w:rsidRPr="00CB613B" w:rsidRDefault="00BD1933" w:rsidP="00CB613B">
      <w:pPr>
        <w:spacing w:line="360" w:lineRule="auto"/>
        <w:jc w:val="both"/>
        <w:rPr>
          <w:rFonts w:cs="Times New Roman"/>
          <w:color w:val="000000" w:themeColor="text1"/>
          <w:lang w:val="en-US"/>
        </w:rPr>
      </w:pPr>
    </w:p>
    <w:p w14:paraId="7B0478A5"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The internet article titled "External Factors Affecting the Business Environment," authored by </w:t>
      </w:r>
      <w:r w:rsidRPr="00CB613B">
        <w:rPr>
          <w:rFonts w:cs="Times New Roman"/>
          <w:color w:val="000000" w:themeColor="text1"/>
          <w:lang w:val="en-US"/>
        </w:rPr>
        <w:lastRenderedPageBreak/>
        <w:t xml:space="preserve">the Indeed Editorial Team, provides an insightful overview of the various external elements that influence organizational operations and strategic decisions. It emphasizes the importance of businesses recognizing and adapting to these external factors to maintain competitiveness and achieve long-term success. The article identifies key external influences such as economic conditions, social and cultural trends, legal and regulatory requirements, political stability, and technological advancements. Economic factors, including inflation rates and employment levels, directly impact consumer purchasing power and business profitability. Social factors such as demographic changes and evolving cultural values shape consumer behaviour, necessitating businesses to align their offerings with societal expectations. Legal considerations, including compliance with employment and consumer protection laws, are essential to avoid legal repercussions and maintain credibility. Political influences, such as government policies and trade regulations, also play a significant role in shaping market conditions. Additionally, technological advancements drive innovation and efficiency, but businesses must continuously adapt to stay competitive. The article underscores that a comprehensive understanding of these external factors is crucial for organizations to develop effective strategies, mitigate risks, and seize new opportunities in an ever-changing market environment. By remaining responsive to these influences, businesses can enhance their resilience </w:t>
      </w:r>
      <w:r w:rsidRPr="00CB613B">
        <w:rPr>
          <w:rFonts w:cs="Times New Roman"/>
          <w:color w:val="000000" w:themeColor="text1"/>
          <w:lang w:val="en-US"/>
        </w:rPr>
        <w:t>and adaptability, ensuring long-term sustainability and success.</w:t>
      </w:r>
    </w:p>
    <w:p w14:paraId="75954CD2"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color w:val="000000" w:themeColor="text1"/>
          <w:lang w:val="en-US"/>
        </w:rPr>
        <w:t> </w:t>
      </w:r>
    </w:p>
    <w:p w14:paraId="7BB1104B" w14:textId="77777777" w:rsidR="00BD1933" w:rsidRPr="00CB613B" w:rsidRDefault="00BD1933" w:rsidP="00CB613B">
      <w:pPr>
        <w:spacing w:line="360" w:lineRule="auto"/>
        <w:jc w:val="center"/>
        <w:rPr>
          <w:rFonts w:cs="Times New Roman"/>
          <w:b/>
          <w:bCs/>
          <w:color w:val="000000" w:themeColor="text1"/>
          <w:lang w:val="en-US"/>
        </w:rPr>
      </w:pPr>
      <w:r w:rsidRPr="00CB613B">
        <w:rPr>
          <w:rFonts w:cs="Times New Roman"/>
          <w:b/>
          <w:bCs/>
          <w:color w:val="000000" w:themeColor="text1"/>
          <w:lang w:val="en-US"/>
        </w:rPr>
        <w:t>ANALYSIS</w:t>
      </w:r>
    </w:p>
    <w:p w14:paraId="509C5FDF" w14:textId="77777777" w:rsidR="00BD1933" w:rsidRPr="00CB613B" w:rsidRDefault="00BD1933" w:rsidP="00CB613B">
      <w:pPr>
        <w:spacing w:line="360" w:lineRule="auto"/>
        <w:jc w:val="both"/>
        <w:rPr>
          <w:rFonts w:cs="Times New Roman"/>
          <w:b/>
          <w:bCs/>
          <w:color w:val="000000" w:themeColor="text1"/>
          <w:lang w:val="en-US"/>
        </w:rPr>
      </w:pPr>
    </w:p>
    <w:p w14:paraId="1A16D078"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2.1 BACKGROUND</w:t>
      </w:r>
    </w:p>
    <w:p w14:paraId="784858FE" w14:textId="77777777" w:rsidR="00BD1933" w:rsidRPr="00CB613B" w:rsidRDefault="00BD1933" w:rsidP="00CB613B">
      <w:pPr>
        <w:spacing w:line="360" w:lineRule="auto"/>
        <w:jc w:val="both"/>
        <w:rPr>
          <w:rFonts w:cs="Times New Roman"/>
          <w:color w:val="000000" w:themeColor="text1"/>
          <w:lang w:val="en-US"/>
        </w:rPr>
      </w:pPr>
    </w:p>
    <w:p w14:paraId="0A8AFA78"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Organizations are compelled to maneuver through a multifaceted external environment within the contemporary dynamic business milieu to secure enduring success. Environmental analysis constitutes the systematic evaluation of external variables that exert influence on business operations. This process enables organizations to discern trends, foresee potential threats, and leverage opportunities. This chapter delves into the critical significance of environmental analysis and its pertinence to strategic decision-making processes. It introduces analytical frameworks such as PESTEL and SWOT analysis for the purpose of evaluating the external environment. A variety of methodologies and techniques are examined, encompassing market research, trend analysis, and scenario planning. It investigates the integration of environmental considerations into strategic frameworks, the identification of sustainable opportunities, and the management of ecological risks. Proficient environmental analysis empowers businesses to adjust to market fluctuations, augment operational efficiency, and stimulate innovation. Additionally, it facilitates navigation through regulatory landscapes and the exploitation of emerging opportunities. By proactively evaluating the external environment, </w:t>
      </w:r>
      <w:r w:rsidRPr="00CB613B">
        <w:rPr>
          <w:rFonts w:cs="Times New Roman"/>
          <w:color w:val="000000" w:themeColor="text1"/>
          <w:lang w:val="en-US"/>
        </w:rPr>
        <w:lastRenderedPageBreak/>
        <w:t>organizations strategically position themselves for sustained success. This chapter thoroughly investigates environmental analysis, accentuating its importance while providing pragmatic insights for flourishing within the perpetually evolving business landscape.</w:t>
      </w:r>
    </w:p>
    <w:p w14:paraId="10B77A2E" w14:textId="77777777" w:rsidR="00BD1933" w:rsidRPr="00CB613B" w:rsidRDefault="00BD1933" w:rsidP="00CB613B">
      <w:pPr>
        <w:spacing w:line="360" w:lineRule="auto"/>
        <w:jc w:val="both"/>
        <w:rPr>
          <w:rFonts w:cs="Times New Roman"/>
          <w:color w:val="000000" w:themeColor="text1"/>
          <w:lang w:val="en-US"/>
        </w:rPr>
      </w:pPr>
    </w:p>
    <w:p w14:paraId="69D6ED1B"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w:t>
      </w:r>
    </w:p>
    <w:p w14:paraId="75532010"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2.2 ENVIRONMENTAL FORECASTING</w:t>
      </w:r>
    </w:p>
    <w:p w14:paraId="1101FE4D" w14:textId="77777777" w:rsidR="00BD1933" w:rsidRPr="00CB613B" w:rsidRDefault="00BD1933" w:rsidP="00CB613B">
      <w:pPr>
        <w:spacing w:line="360" w:lineRule="auto"/>
        <w:jc w:val="both"/>
        <w:rPr>
          <w:rFonts w:cs="Times New Roman"/>
          <w:color w:val="000000" w:themeColor="text1"/>
          <w:lang w:val="en-US"/>
        </w:rPr>
      </w:pPr>
    </w:p>
    <w:p w14:paraId="14858673"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Environmental forecasting plays a crucial role in assessing and </w:t>
      </w:r>
      <w:proofErr w:type="spellStart"/>
      <w:r w:rsidRPr="00CB613B">
        <w:rPr>
          <w:rFonts w:cs="Times New Roman"/>
          <w:color w:val="000000" w:themeColor="text1"/>
          <w:lang w:val="en-US"/>
        </w:rPr>
        <w:t>analysing</w:t>
      </w:r>
      <w:proofErr w:type="spellEnd"/>
      <w:r w:rsidRPr="00CB613B">
        <w:rPr>
          <w:rFonts w:cs="Times New Roman"/>
          <w:color w:val="000000" w:themeColor="text1"/>
          <w:lang w:val="en-US"/>
        </w:rPr>
        <w:t xml:space="preserve"> the ever-changing business landscape, enabling corporate entities to anticipate and adapt to evolving external conditions. In today’s competitive and globalized business environment, organizations must remain proactive in identifying emerging trends, economic fluctuations, technological advancements, regulatory changes, and socio-cultural shifts that could impact their operations. By employing environmental forecasting techniques, businesses can prepare for potential challenges and seize new opportunities, ensuring their long-term sustainability and growth.</w:t>
      </w:r>
    </w:p>
    <w:p w14:paraId="61839F46"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Forecasting allows companies to adopt changes in advance, facilitating smooth business operations and minimizing disruptions. It involves various analytical tools such as trend analysis, scenario planning, econometric modelling, and artificial intelligence-based predictive analytics, which help in understanding market dynamics and consumer behaviour. By integrating these forecasting methods into strategic decision-making, </w:t>
      </w:r>
      <w:r w:rsidRPr="00CB613B">
        <w:rPr>
          <w:rFonts w:cs="Times New Roman"/>
          <w:color w:val="000000" w:themeColor="text1"/>
          <w:lang w:val="en-US"/>
        </w:rPr>
        <w:t>businesses can mitigate risks, optimize resource allocation, and develop robust contingency plans.</w:t>
      </w:r>
    </w:p>
    <w:p w14:paraId="118234CC"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Moreover, environmental forecasting enhances corporate resilience and agility, allowing organizations to stay ahead of competitors by making informed decisions. It also supports sustainable business practices by anticipating environmental and regulatory challenges. In essence, environmental forecasting is not just about predicting future trends but also about equipping businesses with the necessary insights to navigate uncertainty, adapt to external changes, and maintain a competitive edge in an increasingly volatile global market. (Sharma &amp; Mukherjee, 2024)</w:t>
      </w:r>
    </w:p>
    <w:p w14:paraId="4B302CF5"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A notable example is the flood forecasting system in Bangladesh, which is highly vulnerable to flooding due to its geographic location in a deltaic region with dense river networks. The Climate Forecast Applications to Bangladesh (CFAB) project provides probabilistic flood forecasts with a lead time of 1–10 days. These forecasts allow communities to take pre-emptive actions, such as adjusting agricultural practices, storing food, and evacuating at-risk populations. For instance, during the 2007 and 2008 floods, accurate 10-day forecasts enabled significant economic savings and reduced losses in agriculture and property, marking a shift from the previous 2-day forecast horizon, which was insufficient for effective mitigation measures. (Harriss &amp; Jalal, 2012)</w:t>
      </w:r>
    </w:p>
    <w:p w14:paraId="12398B59"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w:t>
      </w:r>
    </w:p>
    <w:p w14:paraId="44A38EBA"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lastRenderedPageBreak/>
        <w:t>2.3 SCANNING THE BUSINESS ENVIRONMENT THROUGH PESTEL ANALYSIS</w:t>
      </w:r>
    </w:p>
    <w:p w14:paraId="3492CADC" w14:textId="5087D34F"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PESTEL analysis serves as a crucial strategic instrument for examining external macro-environmental factors that influence organizational performance. The concept was advanced by Francis J. Aguilar, a Harvard Business School professor, in his 1967 publication Scanning the Business Environment. His research underscored the significance of environmental scanning and the systematic evaluation of external forces shaping business outcomes. Aguilar’s contributions laid the groundwork for modern strategic management, equipping organizations to adapt to dynamic and unpredictable market environments. Derived from his work, the PESTEL framework</w:t>
      </w:r>
      <w:r>
        <w:rPr>
          <w:rFonts w:cs="Times New Roman"/>
          <w:color w:val="000000" w:themeColor="text1"/>
          <w:lang w:val="en-US"/>
        </w:rPr>
        <w:t xml:space="preserve"> </w:t>
      </w:r>
      <w:r w:rsidRPr="00F9529E">
        <w:rPr>
          <w:rFonts w:cs="Times New Roman"/>
          <w:color w:val="000000" w:themeColor="text1"/>
          <w:lang w:val="en-US"/>
        </w:rPr>
        <w:t>representing Political, Economic, Social, Technological, Environmental, and Legal dimensions</w:t>
      </w:r>
      <w:r>
        <w:rPr>
          <w:rFonts w:cs="Times New Roman"/>
          <w:color w:val="000000" w:themeColor="text1"/>
          <w:lang w:val="en-US"/>
        </w:rPr>
        <w:t xml:space="preserve"> </w:t>
      </w:r>
      <w:r w:rsidRPr="00F9529E">
        <w:rPr>
          <w:rFonts w:cs="Times New Roman"/>
          <w:color w:val="000000" w:themeColor="text1"/>
          <w:lang w:val="en-US"/>
        </w:rPr>
        <w:t>enables companies to identify opportunities and threats in their operating environment, thereby enhancing their competitiveness and resilience.</w:t>
      </w:r>
    </w:p>
    <w:p w14:paraId="7E7D2479" w14:textId="77777777" w:rsidR="00F9529E" w:rsidRPr="00F9529E" w:rsidRDefault="00F9529E" w:rsidP="00F9529E">
      <w:pPr>
        <w:spacing w:line="360" w:lineRule="auto"/>
        <w:jc w:val="both"/>
        <w:rPr>
          <w:rFonts w:cs="Times New Roman"/>
          <w:color w:val="000000" w:themeColor="text1"/>
          <w:lang w:val="en-US"/>
        </w:rPr>
      </w:pPr>
    </w:p>
    <w:p w14:paraId="21ED2BE5"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 xml:space="preserve">Political factors encompass government actions, political stability, taxation frameworks, trade policies, and labor legislation. Each of these aspects holds a direct influence over corporate strategies, operational planning, and profitability. Firms pursuing international expansion must assess the political environment of their target markets, as instability, restrictive trade measures, or unfavorable tax conditions may heighten risks. A relevant example is the impact of Brexit, which </w:t>
      </w:r>
      <w:r w:rsidRPr="00F9529E">
        <w:rPr>
          <w:rFonts w:cs="Times New Roman"/>
          <w:color w:val="000000" w:themeColor="text1"/>
          <w:lang w:val="en-US"/>
        </w:rPr>
        <w:t>introduced profound uncertainty for businesses functioning within the UK and EU, altering trade agreements, regulatory standards, and labor mobility. Consequently, tracking political developments is essential for anticipating policy shifts and aligning business strategies accordingly.</w:t>
      </w:r>
    </w:p>
    <w:p w14:paraId="22B9C670" w14:textId="77777777" w:rsidR="00F9529E" w:rsidRPr="00F9529E" w:rsidRDefault="00F9529E" w:rsidP="00F9529E">
      <w:pPr>
        <w:spacing w:line="360" w:lineRule="auto"/>
        <w:jc w:val="both"/>
        <w:rPr>
          <w:rFonts w:cs="Times New Roman"/>
          <w:color w:val="000000" w:themeColor="text1"/>
          <w:lang w:val="en-US"/>
        </w:rPr>
      </w:pPr>
    </w:p>
    <w:p w14:paraId="4BFE6CC9"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Economic factors include variables such as national growth rates, inflation, interest levels, exchange rates, and employment figures. These indicators shape consumer spending behavior, investment confidence, and overall economic stability. For example, global recessions tend to diminish consumer demand for non-essential goods, affecting sectors like luxury retail, travel, and entertainment. Conversely, periods of economic expansion stimulate investment and consumption, enabling business growth. Similarly, a strong national currency may lower import costs while diminishing export competitiveness. Understanding such economic fluctuations empowers organizations to refine pricing, manage costs effectively, and formulate sound financial strategies.</w:t>
      </w:r>
    </w:p>
    <w:p w14:paraId="7AA03A66" w14:textId="77777777" w:rsidR="00F9529E" w:rsidRPr="00F9529E" w:rsidRDefault="00F9529E" w:rsidP="00F9529E">
      <w:pPr>
        <w:spacing w:line="360" w:lineRule="auto"/>
        <w:jc w:val="both"/>
        <w:rPr>
          <w:rFonts w:cs="Times New Roman"/>
          <w:color w:val="000000" w:themeColor="text1"/>
          <w:lang w:val="en-US"/>
        </w:rPr>
      </w:pPr>
    </w:p>
    <w:p w14:paraId="6FED6405"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 xml:space="preserve">Social factors relate to demographic compositions, cultural evolution, education levels, and shifting societal values. These forces drive changes in consumer behavior, brand perception, and labor market dynamics. For instance, increasing awareness of health and wellness has spurred growing demand for organic and plant-based consumer products, compelling companies to diversify their offerings. Additionally, aging </w:t>
      </w:r>
      <w:r w:rsidRPr="00F9529E">
        <w:rPr>
          <w:rFonts w:cs="Times New Roman"/>
          <w:color w:val="000000" w:themeColor="text1"/>
          <w:lang w:val="en-US"/>
        </w:rPr>
        <w:lastRenderedPageBreak/>
        <w:t>populations in countries like Japan have intensified the demand for healthcare and eldercare solutions. Adapting to such social transitions allows businesses to sustain relevance and align with evolving consumer expectations.</w:t>
      </w:r>
    </w:p>
    <w:p w14:paraId="01231585" w14:textId="77777777" w:rsidR="00F9529E" w:rsidRPr="00F9529E" w:rsidRDefault="00F9529E" w:rsidP="00F9529E">
      <w:pPr>
        <w:spacing w:line="360" w:lineRule="auto"/>
        <w:jc w:val="both"/>
        <w:rPr>
          <w:rFonts w:cs="Times New Roman"/>
          <w:color w:val="000000" w:themeColor="text1"/>
          <w:lang w:val="en-US"/>
        </w:rPr>
      </w:pPr>
    </w:p>
    <w:p w14:paraId="39FD52FA"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Technological factors include innovation, research and development, automation, and the pace of technological progress. Technological disruption continuously reshapes industries, introducing both challenges and new avenues for growth. Firms that fail to innovate risk obsolescence, as exemplified by Blockbuster’s decline following the emergence of digital streaming competitors like Netflix. Conversely, those that adopt advanced tools such as artificial intelligence, robotics, and e-commerce gain efficiency, reduce costs, and deliver superior customer experiences. Staying attuned to technological evolution is therefore vital for preserving competitiveness and fostering innovation.</w:t>
      </w:r>
    </w:p>
    <w:p w14:paraId="46651B7C" w14:textId="77777777" w:rsidR="00F9529E" w:rsidRPr="00F9529E" w:rsidRDefault="00F9529E" w:rsidP="00F9529E">
      <w:pPr>
        <w:spacing w:line="360" w:lineRule="auto"/>
        <w:jc w:val="both"/>
        <w:rPr>
          <w:rFonts w:cs="Times New Roman"/>
          <w:color w:val="000000" w:themeColor="text1"/>
          <w:lang w:val="en-US"/>
        </w:rPr>
      </w:pPr>
    </w:p>
    <w:p w14:paraId="2FDC411C"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 xml:space="preserve">Environmental factors address concerns related to climate change, sustainability, depletion of natural resources, and ecological regulations. As environmental consciousness rises globally, regulators have imposed more stringent standards on emissions, waste control, and renewable resource usage. Organizations are compelled to implement sustainable business practices to comply with these norms and meet consumer expectations. The automobile industry’s transition toward electric mobility, led by brands like Tesla, exemplifies how environmental trends can be </w:t>
      </w:r>
      <w:r w:rsidRPr="00F9529E">
        <w:rPr>
          <w:rFonts w:cs="Times New Roman"/>
          <w:color w:val="000000" w:themeColor="text1"/>
          <w:lang w:val="en-US"/>
        </w:rPr>
        <w:t>transformed into strategic advantages through innovation and adaptability.</w:t>
      </w:r>
    </w:p>
    <w:p w14:paraId="2FBA9994" w14:textId="77777777" w:rsidR="00F9529E" w:rsidRPr="00F9529E" w:rsidRDefault="00F9529E" w:rsidP="00F9529E">
      <w:pPr>
        <w:spacing w:line="360" w:lineRule="auto"/>
        <w:jc w:val="both"/>
        <w:rPr>
          <w:rFonts w:cs="Times New Roman"/>
          <w:color w:val="000000" w:themeColor="text1"/>
          <w:lang w:val="en-US"/>
        </w:rPr>
      </w:pPr>
    </w:p>
    <w:p w14:paraId="24A28468"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Legal factors cover the framework of regulations that govern business operations, including labor legislation, consumer protection, safety protocols, and intellectual property rights. Governments enforce these provisions to safeguard the interests of all stakeholders and ensure ethical business conduct. For example, the European Union’s General Data Protection Regulation (GDPR) mandates transparency in data handling and strict protection of user information. Breaching such laws can result in litigation, monetary penalties, and reputational damage. Consequently, staying informed about legal changes is indispensable for compliance and effective risk management.</w:t>
      </w:r>
    </w:p>
    <w:p w14:paraId="09BE41C2" w14:textId="77777777" w:rsidR="00F9529E" w:rsidRPr="00F9529E" w:rsidRDefault="00F9529E" w:rsidP="00F9529E">
      <w:pPr>
        <w:spacing w:line="360" w:lineRule="auto"/>
        <w:jc w:val="both"/>
        <w:rPr>
          <w:rFonts w:cs="Times New Roman"/>
          <w:color w:val="000000" w:themeColor="text1"/>
          <w:lang w:val="en-US"/>
        </w:rPr>
      </w:pPr>
    </w:p>
    <w:p w14:paraId="2ED36AEF" w14:textId="462B3122" w:rsidR="00BD1933" w:rsidRPr="00CB613B"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 xml:space="preserve">In essence, PESTEL analysis offers a robust structure for organizations to evaluate the external context influencing their strategic initiatives. By examining political, economic, social, technological, environmental, and legal dimensions, companies can make evidence-based decisions, mitigate external risks, leverage emerging opportunities, and achieve sustainable growth in an increasingly interconnected global economy. </w:t>
      </w:r>
      <w:r w:rsidR="00BD1933" w:rsidRPr="00CB613B">
        <w:rPr>
          <w:rFonts w:cs="Times New Roman"/>
          <w:color w:val="000000" w:themeColor="text1"/>
          <w:lang w:val="en-US"/>
        </w:rPr>
        <w:t>(Aguilar, 1967)</w:t>
      </w:r>
    </w:p>
    <w:p w14:paraId="7FBA223F"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w:t>
      </w:r>
    </w:p>
    <w:p w14:paraId="22C0B968"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2.4   SIGNIFICANCE OF TECHNOLOGY IN BUSINESS ENVIRONMENT</w:t>
      </w:r>
    </w:p>
    <w:p w14:paraId="5695A19F"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Technology plays an essential role in shaping the modern business landscape, influencing nearly every aspect of operations, strategy, and customer </w:t>
      </w:r>
      <w:r w:rsidRPr="00CB613B">
        <w:rPr>
          <w:rFonts w:cs="Times New Roman"/>
          <w:color w:val="000000" w:themeColor="text1"/>
          <w:lang w:val="en-US"/>
        </w:rPr>
        <w:lastRenderedPageBreak/>
        <w:t>interaction. The integration of technology into business processes has transformed traditional models, allowing companies to operate more efficiently, reach wider audiences, and remain competitive in an increasingly digital world.</w:t>
      </w:r>
    </w:p>
    <w:p w14:paraId="0ED62299" w14:textId="77777777" w:rsidR="00BD1933" w:rsidRPr="00CB613B" w:rsidRDefault="00BD1933" w:rsidP="00CB613B">
      <w:pPr>
        <w:spacing w:line="360" w:lineRule="auto"/>
        <w:jc w:val="both"/>
        <w:rPr>
          <w:rFonts w:cs="Times New Roman"/>
          <w:color w:val="000000" w:themeColor="text1"/>
          <w:lang w:val="en-US"/>
        </w:rPr>
      </w:pPr>
    </w:p>
    <w:p w14:paraId="47FA06BF"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ENHANCING CUSTOMER REACH</w:t>
      </w:r>
    </w:p>
    <w:p w14:paraId="5DE1ABF2"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Technology has revolutionized the way businesses connect with their customers. Digital marketing, social media platforms, and e-commerce websites allow companies to reach a global audience more effectively than traditional marketing methods. Tools such as search engine optimization (SEO), targeted advertising, and personalized email campaigns enable businesses to understand customer preferences and tailor their marketing efforts. The ability to engage with customers through multiple digital channels increases brand awareness, fosters customer loyalty, and ultimately drives sales growth.</w:t>
      </w:r>
    </w:p>
    <w:p w14:paraId="358E4598" w14:textId="77777777" w:rsidR="00BD1933" w:rsidRPr="00CB613B" w:rsidRDefault="00BD1933" w:rsidP="00CB613B">
      <w:pPr>
        <w:spacing w:line="360" w:lineRule="auto"/>
        <w:jc w:val="both"/>
        <w:rPr>
          <w:rFonts w:cs="Times New Roman"/>
          <w:color w:val="000000" w:themeColor="text1"/>
          <w:lang w:val="en-US"/>
        </w:rPr>
      </w:pPr>
    </w:p>
    <w:p w14:paraId="2E10BA87"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IMPROVING OPERATIONAL EFFICIENCY</w:t>
      </w:r>
    </w:p>
    <w:p w14:paraId="52D08C82" w14:textId="77777777" w:rsidR="00BD1933"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Technology significantly enhances business operations by streamlining processes and reducing costs. Automation tools, artificial intelligence (AI), and enterprise resource planning (ERP) systems help businesses optimize workflows, eliminate repetitive tasks, and minimize human errors. Cloud computing and data analytics provide real-time insights, enabling businesses to make informed decisions quickly. These technological advancements contribute to higher productivity, improved resource management, and </w:t>
      </w:r>
      <w:r w:rsidRPr="00CB613B">
        <w:rPr>
          <w:rFonts w:cs="Times New Roman"/>
          <w:color w:val="000000" w:themeColor="text1"/>
          <w:lang w:val="en-US"/>
        </w:rPr>
        <w:t>enhanced service delivery, all of which are essential for maintaining competitiveness.</w:t>
      </w:r>
    </w:p>
    <w:p w14:paraId="2B048DB2" w14:textId="77777777" w:rsidR="00CB613B" w:rsidRPr="00CB613B" w:rsidRDefault="00CB613B" w:rsidP="00CB613B">
      <w:pPr>
        <w:spacing w:line="360" w:lineRule="auto"/>
        <w:jc w:val="both"/>
        <w:rPr>
          <w:rFonts w:cs="Times New Roman"/>
          <w:color w:val="000000" w:themeColor="text1"/>
          <w:lang w:val="en-US"/>
        </w:rPr>
      </w:pPr>
    </w:p>
    <w:p w14:paraId="25AB2B4C"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ADAPTING TO MARKET CHANGES</w:t>
      </w:r>
    </w:p>
    <w:p w14:paraId="32A8D4CF" w14:textId="77777777" w:rsidR="00BD1933"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Technology enables businesses to be more agile and responsive to market fluctuations. Access to real-time data and predictive analytics helps businesses identify trends, anticipate consumer behaviour, and adjust their strategies accordingly. Digital tools also facilitate remote work and flexible business models, allowing companies to adapt to unforeseen circumstances, such as economic downturns or shifts in consumer demand. Organizations that embrace technology-driven adaptability are better equipped to navigate uncertainties and remain competitive.</w:t>
      </w:r>
    </w:p>
    <w:p w14:paraId="2A1A3FE9" w14:textId="77777777" w:rsidR="00CB613B" w:rsidRPr="00CB613B" w:rsidRDefault="00CB613B" w:rsidP="00CB613B">
      <w:pPr>
        <w:spacing w:line="360" w:lineRule="auto"/>
        <w:jc w:val="both"/>
        <w:rPr>
          <w:rFonts w:cs="Times New Roman"/>
          <w:color w:val="000000" w:themeColor="text1"/>
          <w:lang w:val="en-US"/>
        </w:rPr>
      </w:pPr>
    </w:p>
    <w:p w14:paraId="11F8C6A5"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GAINING A COMPETITIVE ADVANTAGE</w:t>
      </w:r>
    </w:p>
    <w:p w14:paraId="0FE95953"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Businesses that integrate technology effectively can differentiate themselves from competitors. Companies that adopt innovative digital solutions can offer superior products and services, enhancing customer satisfaction and brand reputation. Those that fail to keep up with technological advancements risk being overshadowed by more tech-savvy competitors. (Gillespie, 2024) By continuously investing in technology, businesses can strengthen their market position and ensure long-term success. </w:t>
      </w:r>
    </w:p>
    <w:p w14:paraId="06146D2B"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A notable example is Walmart's digital transformation, which reengineered its supply chain to create a more intelligent and connected omnichannel network. By leveraging advanced data analytics, automation, and robotics, Walmart </w:t>
      </w:r>
      <w:r w:rsidRPr="00CB613B">
        <w:rPr>
          <w:rFonts w:cs="Times New Roman"/>
          <w:color w:val="000000" w:themeColor="text1"/>
          <w:lang w:val="en-US"/>
        </w:rPr>
        <w:lastRenderedPageBreak/>
        <w:t>improved inventory accuracy, streamlined operations, and enhanced customer satisfaction through faster and more reliable delivery services. (CTO Magazine, 2024) This transformation also allowed the company to reduce costs and increase productivity while maintaining or creating new roles for employees. Walmart's case demonstrates how technology enables businesses to adapt to changing market demands, remain competitive, and achieve sustainable growth.</w:t>
      </w:r>
    </w:p>
    <w:p w14:paraId="3C5D1219" w14:textId="77777777" w:rsidR="00BD1933" w:rsidRPr="00CB613B" w:rsidRDefault="00BD1933" w:rsidP="00CB613B">
      <w:pPr>
        <w:spacing w:line="360" w:lineRule="auto"/>
        <w:jc w:val="both"/>
        <w:rPr>
          <w:rFonts w:cs="Times New Roman"/>
          <w:color w:val="000000" w:themeColor="text1"/>
          <w:lang w:val="en-US"/>
        </w:rPr>
      </w:pPr>
    </w:p>
    <w:p w14:paraId="598C2278"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2.5 INFLUENCE OF S.W.O.T.  ANALYSIS</w:t>
      </w:r>
    </w:p>
    <w:p w14:paraId="70134A2E" w14:textId="77777777" w:rsidR="00BD1933" w:rsidRPr="00CB613B" w:rsidRDefault="00BD1933" w:rsidP="00CB613B">
      <w:pPr>
        <w:spacing w:line="360" w:lineRule="auto"/>
        <w:jc w:val="both"/>
        <w:rPr>
          <w:rFonts w:cs="Times New Roman"/>
          <w:color w:val="000000" w:themeColor="text1"/>
          <w:lang w:val="en-US"/>
        </w:rPr>
      </w:pPr>
    </w:p>
    <w:p w14:paraId="2F11B8D4"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“SWOT analysis is a widely used strategic planning tool that helps organizations assess their internal and external environments. It stands for Strengths, Weaknesses, Opportunities, and Threats, providing a structured approach to evaluating an organization’s position in the market. The concept was originally developed by Robert Franklin Stewart in the 1960s as part of the SOFT (Satisfactory, Opportunity, Fault, Threat) framework at the Stanford Research Institute (SRI). This approach was later refined into the SWOT framework that is commonly used today.</w:t>
      </w:r>
    </w:p>
    <w:p w14:paraId="55EC6911"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The purpose of SWOT analysis is to help businesses and organizations make informed strategic decisions by identifying key factors that influence their success. Strengths and weaknesses are internal factors, such as a company’s resources, capabilities, and operational efficiencies, while opportunities and threats are external factors, including market trends, competition, and regulatory changes. By </w:t>
      </w:r>
      <w:r w:rsidRPr="00CB613B">
        <w:rPr>
          <w:rFonts w:cs="Times New Roman"/>
          <w:color w:val="000000" w:themeColor="text1"/>
          <w:lang w:val="en-US"/>
        </w:rPr>
        <w:t>systematically analyzing these four elements, organizations can develop strategies that leverage their strengths, address their weaknesses, capitalize on opportunities, and mitigate potential threats.”</w:t>
      </w:r>
    </w:p>
    <w:p w14:paraId="69879906"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One of the key benefits of SWOT analysis is its simplicity and versatility. It can be applied to various industries, including business, healthcare, education, and government, making it a valuable tool for decision-making. The process typically involves gathering input from multiple stakeholders, analyzing relevant data, and categorizing insights into the four SWOT components. The analysis is often visualized in a 2x2 matrix, where each quadrant represents one of the SWOT factors.</w:t>
      </w:r>
    </w:p>
    <w:p w14:paraId="120671F2"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Despite its widespread use, SWOT analysis has also faced criticism. Some scholars argue that it lacks a structured methodology and can lead to vague or subjective conclusions. Others suggest that it should be supplemented with more data-driven approaches, such as PESTLE analysis (Political, Economic, Social, Technological, Legal, and Environmental factors) or Porter’s Five Forces framework, to provide a more comprehensive strategic assessment. (</w:t>
      </w:r>
      <w:proofErr w:type="spellStart"/>
      <w:r w:rsidRPr="00CB613B">
        <w:rPr>
          <w:rFonts w:cs="Times New Roman"/>
          <w:color w:val="000000" w:themeColor="text1"/>
          <w:lang w:val="en-US"/>
        </w:rPr>
        <w:t>Puyt</w:t>
      </w:r>
      <w:proofErr w:type="spellEnd"/>
      <w:r w:rsidRPr="00CB613B">
        <w:rPr>
          <w:rFonts w:cs="Times New Roman"/>
          <w:color w:val="000000" w:themeColor="text1"/>
          <w:lang w:val="en-US"/>
        </w:rPr>
        <w:t xml:space="preserve">, Lie, &amp; </w:t>
      </w:r>
      <w:proofErr w:type="spellStart"/>
      <w:r w:rsidRPr="00CB613B">
        <w:rPr>
          <w:rFonts w:cs="Times New Roman"/>
          <w:color w:val="000000" w:themeColor="text1"/>
          <w:lang w:val="en-US"/>
        </w:rPr>
        <w:t>Wilderom</w:t>
      </w:r>
      <w:proofErr w:type="spellEnd"/>
      <w:r w:rsidRPr="00CB613B">
        <w:rPr>
          <w:rFonts w:cs="Times New Roman"/>
          <w:color w:val="000000" w:themeColor="text1"/>
          <w:lang w:val="en-US"/>
        </w:rPr>
        <w:t>, 2023)</w:t>
      </w:r>
    </w:p>
    <w:p w14:paraId="1C4E0092" w14:textId="77777777" w:rsidR="00BD1933" w:rsidRDefault="00BD1933" w:rsidP="00CB613B">
      <w:pPr>
        <w:spacing w:line="360" w:lineRule="auto"/>
        <w:jc w:val="both"/>
        <w:rPr>
          <w:rFonts w:cs="Times New Roman"/>
          <w:color w:val="000000" w:themeColor="text1"/>
          <w:lang w:val="en-US"/>
        </w:rPr>
      </w:pPr>
    </w:p>
    <w:p w14:paraId="00F37499" w14:textId="75061B47" w:rsidR="00CB613B" w:rsidRDefault="00CB613B"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CONCLUSION</w:t>
      </w:r>
    </w:p>
    <w:p w14:paraId="7CF1FB2D" w14:textId="77777777" w:rsidR="00CB613B" w:rsidRPr="00CB613B" w:rsidRDefault="00CB613B" w:rsidP="00CB613B">
      <w:pPr>
        <w:spacing w:line="360" w:lineRule="auto"/>
        <w:jc w:val="both"/>
        <w:rPr>
          <w:rFonts w:cs="Times New Roman"/>
          <w:b/>
          <w:bCs/>
          <w:color w:val="000000" w:themeColor="text1"/>
          <w:lang w:val="en-US"/>
        </w:rPr>
      </w:pPr>
    </w:p>
    <w:p w14:paraId="475F2629" w14:textId="099C8F8F" w:rsidR="003C26F5" w:rsidRPr="003C26F5" w:rsidRDefault="003C26F5" w:rsidP="003C26F5">
      <w:pPr>
        <w:spacing w:line="360" w:lineRule="auto"/>
        <w:jc w:val="both"/>
        <w:rPr>
          <w:color w:val="000000" w:themeColor="text1"/>
        </w:rPr>
      </w:pPr>
      <w:proofErr w:type="gramStart"/>
      <w:r>
        <w:rPr>
          <w:rFonts w:cs="Times New Roman"/>
          <w:color w:val="000000" w:themeColor="text1"/>
          <w:lang w:val="en-US"/>
        </w:rPr>
        <w:t>Therefore</w:t>
      </w:r>
      <w:proofErr w:type="gramEnd"/>
      <w:r>
        <w:rPr>
          <w:rFonts w:cs="Times New Roman"/>
          <w:color w:val="000000" w:themeColor="text1"/>
          <w:lang w:val="en-US"/>
        </w:rPr>
        <w:t xml:space="preserve"> in conclusion, </w:t>
      </w:r>
      <w:proofErr w:type="gramStart"/>
      <w:r w:rsidRPr="003C26F5">
        <w:rPr>
          <w:color w:val="000000" w:themeColor="text1"/>
        </w:rPr>
        <w:t>Changing</w:t>
      </w:r>
      <w:proofErr w:type="gramEnd"/>
      <w:r w:rsidRPr="003C26F5">
        <w:rPr>
          <w:color w:val="000000" w:themeColor="text1"/>
        </w:rPr>
        <w:t xml:space="preserve"> demographics are reshaping consumer expectations, workforce structures, and market </w:t>
      </w:r>
      <w:proofErr w:type="spellStart"/>
      <w:r w:rsidRPr="003C26F5">
        <w:rPr>
          <w:color w:val="000000" w:themeColor="text1"/>
        </w:rPr>
        <w:t>behaviors</w:t>
      </w:r>
      <w:proofErr w:type="spellEnd"/>
      <w:r w:rsidRPr="003C26F5">
        <w:rPr>
          <w:color w:val="000000" w:themeColor="text1"/>
        </w:rPr>
        <w:t xml:space="preserve"> in a way businesses cannot ignore. As populations age, </w:t>
      </w:r>
      <w:r w:rsidRPr="003C26F5">
        <w:rPr>
          <w:color w:val="000000" w:themeColor="text1"/>
        </w:rPr>
        <w:lastRenderedPageBreak/>
        <w:t>urbanize, and grow more diverse, companies face shifting demand patterns in areas such as healthcare, technology adoption, and personalized products. Younger consumers tend to prioritize digital convenience and socially responsible brands, while aging populations create an expanding market for healthcare and assistive services. These demographic shifts tie directly into broader social factors highlighted in the project, which stress that evolving cultural and demographic realities significantly influence consumer behaviour and business strategy</w:t>
      </w:r>
      <w:r w:rsidRPr="003C26F5">
        <w:rPr>
          <w:rFonts w:cs="Times New Roman"/>
          <w:color w:val="000000" w:themeColor="text1"/>
        </w:rPr>
        <w:t>.</w:t>
      </w:r>
    </w:p>
    <w:p w14:paraId="7DD521BD" w14:textId="0C38AC89" w:rsidR="003C26F5" w:rsidRPr="003C26F5" w:rsidRDefault="003C26F5" w:rsidP="003C26F5">
      <w:pPr>
        <w:spacing w:line="360" w:lineRule="auto"/>
        <w:jc w:val="both"/>
        <w:rPr>
          <w:rFonts w:cs="Times New Roman"/>
          <w:color w:val="000000" w:themeColor="text1"/>
        </w:rPr>
      </w:pPr>
      <w:r w:rsidRPr="003C26F5">
        <w:rPr>
          <w:rFonts w:cs="Times New Roman"/>
          <w:color w:val="000000" w:themeColor="text1"/>
        </w:rPr>
        <w:t>To thrive in this environment, firms must stay agile by continuously studying their external landscape and adapting to emerging demographic patterns. Insights from the project emphasize how businesses that anticipate societal changes and integrate them into planning become more resilient and competitive over time</w:t>
      </w:r>
      <w:r>
        <w:rPr>
          <w:rFonts w:cs="Times New Roman"/>
          <w:color w:val="000000" w:themeColor="text1"/>
        </w:rPr>
        <w:t>.</w:t>
      </w:r>
      <w:r w:rsidRPr="003C26F5">
        <w:rPr>
          <w:rFonts w:cs="Times New Roman"/>
          <w:color w:val="000000" w:themeColor="text1"/>
        </w:rPr>
        <w:t xml:space="preserve"> A forward-looking approach toward demographic evolution supports smarter product design, targeted marketing, and innovation in workforce management. In simple terms, companies that recognize demographic change not as a challenge but as a signal to evolve are better positioned to capture growth, build stronger consumer relationships, and secure long-term relevance in a dynamic market.</w:t>
      </w:r>
    </w:p>
    <w:p w14:paraId="7778A898" w14:textId="747C4572" w:rsidR="00BD1933" w:rsidRPr="00CB613B" w:rsidRDefault="00BD1933" w:rsidP="00CB613B">
      <w:pPr>
        <w:spacing w:line="360" w:lineRule="auto"/>
        <w:jc w:val="both"/>
        <w:rPr>
          <w:rFonts w:cs="Times New Roman"/>
          <w:color w:val="000000" w:themeColor="text1"/>
          <w:lang w:val="en-US"/>
        </w:rPr>
      </w:pPr>
    </w:p>
    <w:p w14:paraId="6AE8BAF7" w14:textId="77777777" w:rsidR="00BD1933" w:rsidRPr="00CB613B" w:rsidRDefault="00BD1933" w:rsidP="00CB613B">
      <w:pPr>
        <w:spacing w:line="360" w:lineRule="auto"/>
        <w:jc w:val="both"/>
        <w:rPr>
          <w:rFonts w:cs="Times New Roman"/>
          <w:color w:val="000000" w:themeColor="text1"/>
          <w:lang w:val="en-US"/>
        </w:rPr>
      </w:pPr>
    </w:p>
    <w:p w14:paraId="7D59775C" w14:textId="77777777" w:rsidR="00BD1933" w:rsidRPr="00CB613B" w:rsidRDefault="00BD1933" w:rsidP="00CB613B">
      <w:pPr>
        <w:spacing w:line="360" w:lineRule="auto"/>
        <w:jc w:val="both"/>
        <w:rPr>
          <w:rFonts w:cs="Times New Roman"/>
          <w:color w:val="000000" w:themeColor="text1"/>
          <w:lang w:val="en-US"/>
        </w:rPr>
      </w:pPr>
    </w:p>
    <w:p w14:paraId="6C44F855" w14:textId="77777777" w:rsidR="00BD1933" w:rsidRPr="00CB613B" w:rsidRDefault="00BD1933" w:rsidP="00CB613B">
      <w:pPr>
        <w:spacing w:line="360" w:lineRule="auto"/>
        <w:jc w:val="both"/>
        <w:rPr>
          <w:rFonts w:cs="Times New Roman"/>
          <w:color w:val="000000" w:themeColor="text1"/>
          <w:lang w:val="en-US"/>
        </w:rPr>
      </w:pPr>
    </w:p>
    <w:p w14:paraId="532B0193" w14:textId="7794B1E8" w:rsidR="00631DAB" w:rsidRPr="00CB613B" w:rsidRDefault="00631DAB" w:rsidP="00CB613B">
      <w:pPr>
        <w:spacing w:line="360" w:lineRule="auto"/>
        <w:jc w:val="both"/>
        <w:rPr>
          <w:rFonts w:cs="Times New Roman"/>
          <w:color w:val="000000" w:themeColor="text1"/>
        </w:rPr>
      </w:pPr>
    </w:p>
    <w:sectPr w:rsidR="00631DAB" w:rsidRPr="00CB613B" w:rsidSect="006324B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85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FC7B" w14:textId="77777777" w:rsidR="00A03FAD" w:rsidRDefault="00A03FAD" w:rsidP="00CB280A">
      <w:r>
        <w:separator/>
      </w:r>
    </w:p>
  </w:endnote>
  <w:endnote w:type="continuationSeparator" w:id="0">
    <w:p w14:paraId="57F70B92" w14:textId="77777777" w:rsidR="00A03FAD" w:rsidRDefault="00A03FAD" w:rsidP="00CB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465978"/>
      <w:docPartObj>
        <w:docPartGallery w:val="Page Numbers (Bottom of Page)"/>
        <w:docPartUnique/>
      </w:docPartObj>
    </w:sdtPr>
    <w:sdtContent>
      <w:p w14:paraId="08A714DA" w14:textId="77777777" w:rsidR="007D7139" w:rsidRDefault="007D7139" w:rsidP="007B74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1321538"/>
      <w:docPartObj>
        <w:docPartGallery w:val="Page Numbers (Bottom of Page)"/>
        <w:docPartUnique/>
      </w:docPartObj>
    </w:sdtPr>
    <w:sdtContent>
      <w:p w14:paraId="0CD7A645" w14:textId="77777777" w:rsidR="007D7139" w:rsidRDefault="007D7139" w:rsidP="007B74E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26BF3" w14:textId="77777777" w:rsidR="007D7139" w:rsidRDefault="007D7139" w:rsidP="007D71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B2D4" w14:textId="77777777" w:rsidR="00336A68" w:rsidRPr="008E1528" w:rsidRDefault="00336A68" w:rsidP="007D7139">
    <w:pPr>
      <w:pStyle w:val="Footer"/>
      <w:tabs>
        <w:tab w:val="clear" w:pos="9026"/>
      </w:tabs>
      <w:ind w:right="360"/>
      <w:jc w:val="center"/>
      <w:rPr>
        <w:rFonts w:ascii="Garamond" w:hAnsi="Garamond"/>
        <w:color w:val="9F2647"/>
      </w:rPr>
    </w:pPr>
    <w:r w:rsidRPr="008E1528">
      <w:rPr>
        <w:rFonts w:ascii="Garamond" w:hAnsi="Garamond"/>
        <w:noProof/>
        <w:lang w:eastAsia="en-IN"/>
      </w:rPr>
      <mc:AlternateContent>
        <mc:Choice Requires="wps">
          <w:drawing>
            <wp:anchor distT="0" distB="0" distL="114300" distR="114300" simplePos="0" relativeHeight="251650048" behindDoc="0" locked="0" layoutInCell="1" allowOverlap="1" wp14:anchorId="23EC1B11" wp14:editId="33D7207C">
              <wp:simplePos x="0" y="0"/>
              <wp:positionH relativeFrom="column">
                <wp:posOffset>-894080</wp:posOffset>
              </wp:positionH>
              <wp:positionV relativeFrom="paragraph">
                <wp:posOffset>158591</wp:posOffset>
              </wp:positionV>
              <wp:extent cx="7533640" cy="0"/>
              <wp:effectExtent l="0" t="0" r="10160" b="12700"/>
              <wp:wrapNone/>
              <wp:docPr id="1031975565" name="Straight Connector 4"/>
              <wp:cNvGraphicFramePr/>
              <a:graphic xmlns:a="http://schemas.openxmlformats.org/drawingml/2006/main">
                <a:graphicData uri="http://schemas.microsoft.com/office/word/2010/wordprocessingShape">
                  <wps:wsp>
                    <wps:cNvCnPr/>
                    <wps:spPr>
                      <a:xfrm>
                        <a:off x="0" y="0"/>
                        <a:ext cx="7533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92969C" id="Straight Connector 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70.4pt,12.5pt" to="52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" strokecolor="black [3200]" strokeweight=".5pt">
              <v:stroke joinstyle="miter"/>
            </v:line>
          </w:pict>
        </mc:Fallback>
      </mc:AlternateContent>
    </w:r>
  </w:p>
  <w:p w14:paraId="6C8869BF" w14:textId="77777777" w:rsidR="007D7139" w:rsidRPr="008E1528" w:rsidRDefault="007D7139" w:rsidP="00851EFC">
    <w:pPr>
      <w:pStyle w:val="Footer"/>
      <w:framePr w:h="304" w:hRule="exact" w:wrap="none" w:vAnchor="text" w:hAnchor="page" w:x="11071" w:y="76"/>
      <w:jc w:val="center"/>
      <w:rPr>
        <w:rStyle w:val="PageNumber"/>
        <w:rFonts w:ascii="Garamond" w:hAnsi="Garamond"/>
      </w:rPr>
    </w:pPr>
  </w:p>
  <w:p w14:paraId="484DB275" w14:textId="4D7ADAA3" w:rsidR="00336A68" w:rsidRPr="00801AF9" w:rsidRDefault="00D467D1" w:rsidP="007D7139">
    <w:pPr>
      <w:pStyle w:val="Footer"/>
      <w:tabs>
        <w:tab w:val="clear" w:pos="9026"/>
      </w:tabs>
      <w:spacing w:before="80" w:after="120"/>
      <w:jc w:val="center"/>
      <w:rPr>
        <w:rFonts w:ascii="Georgia" w:hAnsi="Georgia"/>
        <w:i/>
        <w:iCs/>
        <w:color w:val="002060"/>
        <w:sz w:val="16"/>
        <w:szCs w:val="16"/>
      </w:rPr>
    </w:pPr>
    <w:r w:rsidRPr="00801AF9">
      <w:rPr>
        <w:rFonts w:ascii="Georgia" w:hAnsi="Georgia"/>
        <w:color w:val="002060"/>
        <w:sz w:val="16"/>
        <w:szCs w:val="16"/>
      </w:rPr>
      <w:t>©</w:t>
    </w:r>
    <w:r w:rsidR="00801AF9" w:rsidRPr="00801AF9">
      <w:rPr>
        <w:rFonts w:ascii="Georgia" w:hAnsi="Georgia"/>
        <w:color w:val="002060"/>
        <w:sz w:val="16"/>
        <w:szCs w:val="16"/>
      </w:rPr>
      <w:t xml:space="preserve"> Journal of Start Up Innovation and Management</w:t>
    </w:r>
    <w:r w:rsidR="00EC103F" w:rsidRPr="00801AF9">
      <w:rPr>
        <w:rStyle w:val="Hyperlink"/>
        <w:rFonts w:ascii="Georgia" w:hAnsi="Georgia"/>
        <w:color w:val="002060"/>
        <w:sz w:val="16"/>
        <w:szCs w:val="16"/>
        <w:u w:val="none"/>
      </w:rPr>
      <w:t xml:space="preserve"> | </w:t>
    </w:r>
    <w:r w:rsidR="004C3EC3" w:rsidRPr="00801AF9">
      <w:rPr>
        <w:rStyle w:val="Hyperlink"/>
        <w:rFonts w:ascii="Georgia" w:hAnsi="Georgia"/>
        <w:color w:val="002060"/>
        <w:sz w:val="16"/>
        <w:szCs w:val="16"/>
        <w:u w:val="none"/>
      </w:rPr>
      <w:t>www.</w:t>
    </w:r>
    <w:r w:rsidR="00801AF9" w:rsidRPr="00801AF9">
      <w:rPr>
        <w:rStyle w:val="Hyperlink"/>
        <w:rFonts w:ascii="Georgia" w:hAnsi="Georgia"/>
        <w:color w:val="002060"/>
        <w:sz w:val="16"/>
        <w:szCs w:val="16"/>
        <w:u w:val="none"/>
      </w:rPr>
      <w:t>jsim</w:t>
    </w:r>
    <w:r w:rsidR="004C3EC3" w:rsidRPr="00801AF9">
      <w:rPr>
        <w:rStyle w:val="Hyperlink"/>
        <w:rFonts w:ascii="Georgia" w:hAnsi="Georgia"/>
        <w:color w:val="002060"/>
        <w:sz w:val="16"/>
        <w:szCs w:val="16"/>
        <w:u w:val="none"/>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AEB" w14:textId="2D06D52D" w:rsidR="00C602DB" w:rsidRPr="00801AF9" w:rsidRDefault="00C602DB" w:rsidP="00130096">
    <w:pPr>
      <w:pStyle w:val="Footer"/>
      <w:tabs>
        <w:tab w:val="clear" w:pos="9026"/>
      </w:tabs>
      <w:rPr>
        <w:rFonts w:ascii="Garamond" w:hAnsi="Garamond"/>
        <w:color w:val="002060"/>
      </w:rPr>
    </w:pPr>
  </w:p>
  <w:p w14:paraId="74FE114D" w14:textId="38045C6B" w:rsidR="00C602DB" w:rsidRPr="00801AF9" w:rsidRDefault="00712DF5" w:rsidP="00130096">
    <w:pPr>
      <w:pStyle w:val="Footer"/>
      <w:pBdr>
        <w:top w:val="single" w:sz="4" w:space="8" w:color="auto"/>
      </w:pBdr>
      <w:tabs>
        <w:tab w:val="clear" w:pos="9026"/>
      </w:tabs>
      <w:spacing w:before="80" w:after="120"/>
      <w:jc w:val="center"/>
      <w:rPr>
        <w:rFonts w:ascii="Georgia" w:hAnsi="Georgia"/>
        <w:color w:val="002060"/>
        <w:sz w:val="13"/>
        <w:szCs w:val="10"/>
      </w:rPr>
    </w:pPr>
    <w:r w:rsidRPr="00801AF9">
      <w:rPr>
        <w:rFonts w:ascii="Georgia" w:hAnsi="Georgia"/>
        <w:i/>
        <w:iCs/>
        <w:color w:val="002060"/>
        <w:sz w:val="13"/>
        <w:szCs w:val="10"/>
      </w:rPr>
      <w:t>Replication or other unauthorized use of this material is prohibited by the copyright laws of India</w:t>
    </w:r>
    <w:r w:rsidR="00C602DB" w:rsidRPr="00801AF9">
      <w:rPr>
        <w:rFonts w:ascii="Georgia" w:hAnsi="Georgia"/>
        <w:i/>
        <w:iCs/>
        <w:color w:val="002060"/>
        <w:sz w:val="13"/>
        <w:szCs w:val="10"/>
      </w:rPr>
      <w:t xml:space="preserve"> | </w:t>
    </w:r>
    <w:r w:rsidRPr="00801AF9">
      <w:rPr>
        <w:rFonts w:ascii="Georgia" w:hAnsi="Georgia"/>
        <w:color w:val="002060"/>
        <w:sz w:val="13"/>
        <w:szCs w:val="12"/>
      </w:rPr>
      <w:t xml:space="preserve">© </w:t>
    </w:r>
    <w:r w:rsidR="00801AF9" w:rsidRPr="00801AF9">
      <w:rPr>
        <w:rFonts w:ascii="Georgia" w:hAnsi="Georgia"/>
        <w:color w:val="002060"/>
        <w:sz w:val="13"/>
        <w:szCs w:val="12"/>
      </w:rPr>
      <w:t>Journal of Start Up Innovation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2652" w14:textId="77777777" w:rsidR="00A03FAD" w:rsidRDefault="00A03FAD" w:rsidP="00CB280A">
      <w:r>
        <w:separator/>
      </w:r>
    </w:p>
  </w:footnote>
  <w:footnote w:type="continuationSeparator" w:id="0">
    <w:p w14:paraId="73435060" w14:textId="77777777" w:rsidR="00A03FAD" w:rsidRDefault="00A03FAD" w:rsidP="00CB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132054"/>
      <w:docPartObj>
        <w:docPartGallery w:val="Page Numbers (Top of Page)"/>
        <w:docPartUnique/>
      </w:docPartObj>
    </w:sdtPr>
    <w:sdtContent>
      <w:p w14:paraId="2B8DAEA3" w14:textId="77777777" w:rsidR="00523B67" w:rsidRDefault="00523B67" w:rsidP="00106F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71740F" w14:textId="77777777" w:rsidR="00523B67" w:rsidRDefault="00523B67" w:rsidP="00523B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66FA" w14:textId="4DE6067B" w:rsidR="00106FD3" w:rsidRPr="00106FD3" w:rsidRDefault="00106FD3" w:rsidP="00A466D1">
    <w:pPr>
      <w:pStyle w:val="Header"/>
      <w:framePr w:wrap="none" w:vAnchor="text" w:hAnchor="page" w:x="10265" w:y="-11"/>
      <w:rPr>
        <w:rStyle w:val="PageNumber"/>
        <w:rFonts w:ascii="Georgia" w:hAnsi="Georgia"/>
        <w:sz w:val="20"/>
        <w:szCs w:val="20"/>
      </w:rPr>
    </w:pPr>
    <w:r w:rsidRPr="00106FD3">
      <w:rPr>
        <w:rStyle w:val="PageNumber"/>
        <w:rFonts w:ascii="Georgia" w:hAnsi="Georgia"/>
        <w:sz w:val="20"/>
        <w:szCs w:val="20"/>
      </w:rPr>
      <w:t xml:space="preserve">Page </w:t>
    </w:r>
    <w:sdt>
      <w:sdtPr>
        <w:rPr>
          <w:rStyle w:val="PageNumber"/>
          <w:rFonts w:ascii="Georgia" w:hAnsi="Georgia"/>
          <w:sz w:val="20"/>
          <w:szCs w:val="20"/>
        </w:rPr>
        <w:id w:val="661670413"/>
        <w:docPartObj>
          <w:docPartGallery w:val="Page Numbers (Top of Page)"/>
          <w:docPartUnique/>
        </w:docPartObj>
      </w:sdtPr>
      <w:sdtContent>
        <w:r w:rsidRPr="00106FD3">
          <w:rPr>
            <w:rStyle w:val="PageNumber"/>
            <w:rFonts w:ascii="Georgia" w:hAnsi="Georgia"/>
            <w:sz w:val="20"/>
            <w:szCs w:val="20"/>
          </w:rPr>
          <w:fldChar w:fldCharType="begin"/>
        </w:r>
        <w:r w:rsidRPr="00106FD3">
          <w:rPr>
            <w:rStyle w:val="PageNumber"/>
            <w:rFonts w:ascii="Georgia" w:hAnsi="Georgia"/>
            <w:sz w:val="20"/>
            <w:szCs w:val="20"/>
          </w:rPr>
          <w:instrText xml:space="preserve"> PAGE </w:instrText>
        </w:r>
        <w:r w:rsidRPr="00106FD3">
          <w:rPr>
            <w:rStyle w:val="PageNumber"/>
            <w:rFonts w:ascii="Georgia" w:hAnsi="Georgia"/>
            <w:sz w:val="20"/>
            <w:szCs w:val="20"/>
          </w:rPr>
          <w:fldChar w:fldCharType="separate"/>
        </w:r>
        <w:r w:rsidR="007751E6">
          <w:rPr>
            <w:rStyle w:val="PageNumber"/>
            <w:rFonts w:ascii="Georgia" w:hAnsi="Georgia"/>
            <w:noProof/>
            <w:sz w:val="20"/>
            <w:szCs w:val="20"/>
          </w:rPr>
          <w:t>10</w:t>
        </w:r>
        <w:r w:rsidRPr="00106FD3">
          <w:rPr>
            <w:rStyle w:val="PageNumber"/>
            <w:rFonts w:ascii="Georgia" w:hAnsi="Georgia"/>
            <w:sz w:val="20"/>
            <w:szCs w:val="20"/>
          </w:rPr>
          <w:fldChar w:fldCharType="end"/>
        </w:r>
      </w:sdtContent>
    </w:sdt>
  </w:p>
  <w:p w14:paraId="37B36FFD" w14:textId="10977C4C" w:rsidR="00CB280A" w:rsidRDefault="00801AF9" w:rsidP="006324B8">
    <w:pPr>
      <w:pStyle w:val="Header"/>
      <w:pBdr>
        <w:bottom w:val="single" w:sz="4" w:space="6" w:color="auto"/>
      </w:pBdr>
      <w:ind w:right="-24"/>
      <w:jc w:val="center"/>
      <w:rPr>
        <w:rStyle w:val="PageNumber"/>
        <w:rFonts w:ascii="Georgia" w:hAnsi="Georgia"/>
        <w:sz w:val="18"/>
        <w:szCs w:val="18"/>
        <w:lang w:val="en-US"/>
      </w:rPr>
    </w:pPr>
    <w:r>
      <w:rPr>
        <w:rStyle w:val="PageNumber"/>
        <w:rFonts w:ascii="Georgia" w:hAnsi="Georgia"/>
        <w:sz w:val="18"/>
        <w:szCs w:val="18"/>
        <w:lang w:val="en-US"/>
      </w:rPr>
      <w:t>Journal of Start Up Innovation and Management</w:t>
    </w:r>
    <w:r w:rsidR="004C3EC3"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w:t>
    </w:r>
    <w:r w:rsidR="00DD2E66"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Volume I</w:t>
    </w:r>
    <w:r w:rsidR="00895007" w:rsidRPr="00631DAB">
      <w:rPr>
        <w:rStyle w:val="PageNumber"/>
        <w:rFonts w:ascii="Georgia" w:hAnsi="Georgia"/>
        <w:sz w:val="18"/>
        <w:szCs w:val="18"/>
        <w:lang w:val="en-US"/>
      </w:rPr>
      <w:t xml:space="preserve"> Issue I</w:t>
    </w:r>
    <w:r w:rsidR="006324B8">
      <w:rPr>
        <w:rStyle w:val="PageNumber"/>
        <w:rFonts w:ascii="Georgia" w:hAnsi="Georgia"/>
        <w:sz w:val="18"/>
        <w:szCs w:val="18"/>
        <w:lang w:val="en-US"/>
      </w:rPr>
      <w:t>I | December 2025</w:t>
    </w:r>
  </w:p>
  <w:p w14:paraId="51F66CD1" w14:textId="27DD734B" w:rsidR="006324B8" w:rsidRPr="00631DAB" w:rsidRDefault="006324B8" w:rsidP="006324B8">
    <w:pPr>
      <w:pStyle w:val="Header"/>
      <w:pBdr>
        <w:bottom w:val="single" w:sz="4" w:space="6" w:color="auto"/>
      </w:pBdr>
      <w:ind w:right="-24"/>
      <w:rPr>
        <w:rFonts w:ascii="Georgia" w:hAnsi="Georgia"/>
        <w:sz w:val="18"/>
        <w:szCs w:val="18"/>
        <w:lang w:val="en-US"/>
      </w:rPr>
    </w:pPr>
    <w:r>
      <w:rPr>
        <w:rStyle w:val="PageNumber"/>
        <w:rFonts w:ascii="Georgia" w:hAnsi="Georgia"/>
        <w:sz w:val="18"/>
        <w:szCs w:val="18"/>
        <w:lang w:val="en-US"/>
      </w:rPr>
      <w:t>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C68" w14:textId="2D324C7B" w:rsidR="007956D9" w:rsidRDefault="00631DAB" w:rsidP="0097324D">
    <w:pPr>
      <w:ind w:left="142" w:right="-755"/>
      <w:rPr>
        <w:rFonts w:ascii="Georgia" w:eastAsia="Times New Roman" w:hAnsi="Georgia" w:cs="Times New Roman"/>
        <w:lang w:eastAsia="en-GB"/>
      </w:rPr>
    </w:pPr>
    <w:r w:rsidRPr="00B52595">
      <w:rPr>
        <w:rFonts w:ascii="Georgia" w:hAnsi="Georgia"/>
        <w:noProof/>
        <w:lang w:eastAsia="en-IN"/>
      </w:rPr>
      <mc:AlternateContent>
        <mc:Choice Requires="wps">
          <w:drawing>
            <wp:anchor distT="0" distB="0" distL="114300" distR="114300" simplePos="0" relativeHeight="251664384" behindDoc="0" locked="0" layoutInCell="1" allowOverlap="1" wp14:anchorId="556A8D1F" wp14:editId="329B38AD">
              <wp:simplePos x="0" y="0"/>
              <wp:positionH relativeFrom="column">
                <wp:posOffset>1408670</wp:posOffset>
              </wp:positionH>
              <wp:positionV relativeFrom="paragraph">
                <wp:posOffset>43592</wp:posOffset>
              </wp:positionV>
              <wp:extent cx="5238115" cy="1132840"/>
              <wp:effectExtent l="0" t="0" r="0" b="0"/>
              <wp:wrapNone/>
              <wp:docPr id="1512333199" name="Text Box 1"/>
              <wp:cNvGraphicFramePr/>
              <a:graphic xmlns:a="http://schemas.openxmlformats.org/drawingml/2006/main">
                <a:graphicData uri="http://schemas.microsoft.com/office/word/2010/wordprocessingShape">
                  <wps:wsp>
                    <wps:cNvSpPr txBox="1"/>
                    <wps:spPr>
                      <a:xfrm>
                        <a:off x="0" y="0"/>
                        <a:ext cx="5238115" cy="1132840"/>
                      </a:xfrm>
                      <a:prstGeom prst="rect">
                        <a:avLst/>
                      </a:prstGeom>
                      <a:solidFill>
                        <a:schemeClr val="lt1"/>
                      </a:solidFill>
                      <a:ln w="6350">
                        <a:noFill/>
                      </a:ln>
                    </wps:spPr>
                    <wps:txb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8D1F" id="_x0000_t202" coordsize="21600,21600" o:spt="202" path="m,l,21600r21600,l21600,xe">
              <v:stroke joinstyle="miter"/>
              <v:path gradientshapeok="t" o:connecttype="rect"/>
            </v:shapetype>
            <v:shape id="Text Box 1" o:spid="_x0000_s1027" type="#_x0000_t202" style="position:absolute;left:0;text-align:left;margin-left:110.9pt;margin-top:3.45pt;width:412.45pt;height:8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wrLgIAAFU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" fillcolor="white [3201]" stroked="f" strokeweight=".5pt">
              <v:textbo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v:textbox>
            </v:shape>
          </w:pict>
        </mc:Fallback>
      </mc:AlternateContent>
    </w:r>
    <w:r w:rsidR="0019437A" w:rsidRPr="00D27364">
      <w:rPr>
        <w:rFonts w:ascii="Georgia" w:hAnsi="Georgia"/>
        <w:noProof/>
        <w:color w:val="2E4B40"/>
        <w:lang w:eastAsia="en-IN"/>
      </w:rPr>
      <mc:AlternateContent>
        <mc:Choice Requires="wps">
          <w:drawing>
            <wp:anchor distT="0" distB="0" distL="114300" distR="114300" simplePos="0" relativeHeight="251678720" behindDoc="0" locked="0" layoutInCell="1" allowOverlap="1" wp14:anchorId="642CE840" wp14:editId="6B0A9FCD">
              <wp:simplePos x="0" y="0"/>
              <wp:positionH relativeFrom="column">
                <wp:posOffset>1361880</wp:posOffset>
              </wp:positionH>
              <wp:positionV relativeFrom="paragraph">
                <wp:posOffset>41910</wp:posOffset>
              </wp:positionV>
              <wp:extent cx="0" cy="1133230"/>
              <wp:effectExtent l="0" t="0" r="12700" b="10160"/>
              <wp:wrapNone/>
              <wp:docPr id="550671786" name="Straight Connector 2"/>
              <wp:cNvGraphicFramePr/>
              <a:graphic xmlns:a="http://schemas.openxmlformats.org/drawingml/2006/main">
                <a:graphicData uri="http://schemas.microsoft.com/office/word/2010/wordprocessingShape">
                  <wps:wsp>
                    <wps:cNvCnPr/>
                    <wps:spPr>
                      <a:xfrm>
                        <a:off x="0" y="0"/>
                        <a:ext cx="0" cy="1133230"/>
                      </a:xfrm>
                      <a:prstGeom prst="line">
                        <a:avLst/>
                      </a:prstGeom>
                      <a:ln>
                        <a:solidFill>
                          <a:srgbClr val="2E4B4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6B593B"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7.25pt,3.3pt" to="107.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" strokecolor="#2e4b40" strokeweight="1pt">
              <v:stroke joinstyle="miter"/>
            </v:line>
          </w:pict>
        </mc:Fallback>
      </mc:AlternateContent>
    </w:r>
    <w:r w:rsidR="004258EE">
      <w:rPr>
        <w:rFonts w:ascii="Georgia" w:hAnsi="Georgia"/>
        <w:noProof/>
        <w:lang w:eastAsia="en-IN"/>
      </w:rPr>
      <w:drawing>
        <wp:inline distT="0" distB="0" distL="0" distR="0" wp14:anchorId="5EB3498C" wp14:editId="46BADBB6">
          <wp:extent cx="1179335" cy="1179335"/>
          <wp:effectExtent l="0" t="0" r="1905" b="1905"/>
          <wp:docPr id="20261215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000" name="Picture 1906911000"/>
                  <pic:cNvPicPr/>
                </pic:nvPicPr>
                <pic:blipFill>
                  <a:blip r:embed="rId1">
                    <a:extLst>
                      <a:ext uri="{28A0092B-C50C-407E-A947-70E740481C1C}">
                        <a14:useLocalDpi xmlns:a14="http://schemas.microsoft.com/office/drawing/2010/main" val="0"/>
                      </a:ext>
                    </a:extLst>
                  </a:blip>
                  <a:stretch>
                    <a:fillRect/>
                  </a:stretch>
                </pic:blipFill>
                <pic:spPr>
                  <a:xfrm>
                    <a:off x="0" y="0"/>
                    <a:ext cx="1183647" cy="1183647"/>
                  </a:xfrm>
                  <a:prstGeom prst="rect">
                    <a:avLst/>
                  </a:prstGeom>
                </pic:spPr>
              </pic:pic>
            </a:graphicData>
          </a:graphic>
        </wp:inline>
      </w:drawing>
    </w:r>
  </w:p>
  <w:p w14:paraId="41033955" w14:textId="77777777" w:rsidR="0097324D" w:rsidRPr="0097324D" w:rsidRDefault="0097324D" w:rsidP="0097324D">
    <w:pPr>
      <w:ind w:left="284" w:right="-755"/>
      <w:rPr>
        <w:rFonts w:ascii="Georgia" w:eastAsia="Times New Roman" w:hAnsi="Georgia" w:cs="Times New Roman"/>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7463"/>
    <w:multiLevelType w:val="hybridMultilevel"/>
    <w:tmpl w:val="A12E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C04B5"/>
    <w:multiLevelType w:val="hybridMultilevel"/>
    <w:tmpl w:val="A39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F740C"/>
    <w:multiLevelType w:val="hybridMultilevel"/>
    <w:tmpl w:val="A2A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B7AA9"/>
    <w:multiLevelType w:val="hybridMultilevel"/>
    <w:tmpl w:val="699E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24A61"/>
    <w:multiLevelType w:val="hybridMultilevel"/>
    <w:tmpl w:val="7E26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D534B"/>
    <w:multiLevelType w:val="hybridMultilevel"/>
    <w:tmpl w:val="65E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D643D"/>
    <w:multiLevelType w:val="hybridMultilevel"/>
    <w:tmpl w:val="8D66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3A31BB"/>
    <w:multiLevelType w:val="hybridMultilevel"/>
    <w:tmpl w:val="3D66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20A6C"/>
    <w:multiLevelType w:val="hybridMultilevel"/>
    <w:tmpl w:val="E93E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D632C"/>
    <w:multiLevelType w:val="hybridMultilevel"/>
    <w:tmpl w:val="BF96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E9641E"/>
    <w:multiLevelType w:val="hybridMultilevel"/>
    <w:tmpl w:val="1D50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F3C46"/>
    <w:multiLevelType w:val="hybridMultilevel"/>
    <w:tmpl w:val="850A4898"/>
    <w:lvl w:ilvl="0" w:tplc="D960D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D263AD"/>
    <w:multiLevelType w:val="hybridMultilevel"/>
    <w:tmpl w:val="679674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72E633B0"/>
    <w:multiLevelType w:val="hybridMultilevel"/>
    <w:tmpl w:val="4A9A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618440">
    <w:abstractNumId w:val="6"/>
  </w:num>
  <w:num w:numId="2" w16cid:durableId="924724257">
    <w:abstractNumId w:val="3"/>
  </w:num>
  <w:num w:numId="3" w16cid:durableId="1656715900">
    <w:abstractNumId w:val="4"/>
  </w:num>
  <w:num w:numId="4" w16cid:durableId="1819763073">
    <w:abstractNumId w:val="7"/>
  </w:num>
  <w:num w:numId="5" w16cid:durableId="763109185">
    <w:abstractNumId w:val="2"/>
  </w:num>
  <w:num w:numId="6" w16cid:durableId="517820006">
    <w:abstractNumId w:val="8"/>
  </w:num>
  <w:num w:numId="7" w16cid:durableId="190384713">
    <w:abstractNumId w:val="13"/>
  </w:num>
  <w:num w:numId="8" w16cid:durableId="1813282489">
    <w:abstractNumId w:val="1"/>
  </w:num>
  <w:num w:numId="9" w16cid:durableId="2126848383">
    <w:abstractNumId w:val="10"/>
  </w:num>
  <w:num w:numId="10" w16cid:durableId="1502938304">
    <w:abstractNumId w:val="9"/>
  </w:num>
  <w:num w:numId="11" w16cid:durableId="410351011">
    <w:abstractNumId w:val="0"/>
  </w:num>
  <w:num w:numId="12" w16cid:durableId="84884050">
    <w:abstractNumId w:val="5"/>
  </w:num>
  <w:num w:numId="13" w16cid:durableId="77485050">
    <w:abstractNumId w:val="11"/>
  </w:num>
  <w:num w:numId="14" w16cid:durableId="942764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64D"/>
    <w:rsid w:val="000070FC"/>
    <w:rsid w:val="00023CDF"/>
    <w:rsid w:val="000428C4"/>
    <w:rsid w:val="000739AE"/>
    <w:rsid w:val="000936E6"/>
    <w:rsid w:val="00095C58"/>
    <w:rsid w:val="000A2674"/>
    <w:rsid w:val="000C6785"/>
    <w:rsid w:val="000F701E"/>
    <w:rsid w:val="00106FD3"/>
    <w:rsid w:val="00130096"/>
    <w:rsid w:val="001351FD"/>
    <w:rsid w:val="00152A52"/>
    <w:rsid w:val="00171CC9"/>
    <w:rsid w:val="00180FED"/>
    <w:rsid w:val="00193EEF"/>
    <w:rsid w:val="0019437A"/>
    <w:rsid w:val="001D2203"/>
    <w:rsid w:val="001E7615"/>
    <w:rsid w:val="002252C4"/>
    <w:rsid w:val="00244E96"/>
    <w:rsid w:val="002A03D8"/>
    <w:rsid w:val="002B5AAC"/>
    <w:rsid w:val="002E662D"/>
    <w:rsid w:val="002F7898"/>
    <w:rsid w:val="002F7CB8"/>
    <w:rsid w:val="00301B5B"/>
    <w:rsid w:val="00331499"/>
    <w:rsid w:val="00336A68"/>
    <w:rsid w:val="00342DC7"/>
    <w:rsid w:val="00344082"/>
    <w:rsid w:val="00351C4A"/>
    <w:rsid w:val="00356425"/>
    <w:rsid w:val="003570FB"/>
    <w:rsid w:val="0037101B"/>
    <w:rsid w:val="00390FAB"/>
    <w:rsid w:val="003A4E78"/>
    <w:rsid w:val="003C26F5"/>
    <w:rsid w:val="003C508B"/>
    <w:rsid w:val="003E1273"/>
    <w:rsid w:val="00401EFA"/>
    <w:rsid w:val="004258EE"/>
    <w:rsid w:val="00492DAF"/>
    <w:rsid w:val="004B0993"/>
    <w:rsid w:val="004C3EC3"/>
    <w:rsid w:val="004D0E3D"/>
    <w:rsid w:val="004D28FD"/>
    <w:rsid w:val="004E2AC5"/>
    <w:rsid w:val="004F30C1"/>
    <w:rsid w:val="00513AE3"/>
    <w:rsid w:val="00520D47"/>
    <w:rsid w:val="00523B67"/>
    <w:rsid w:val="00542659"/>
    <w:rsid w:val="005636FB"/>
    <w:rsid w:val="00581F29"/>
    <w:rsid w:val="00631DAB"/>
    <w:rsid w:val="006324B8"/>
    <w:rsid w:val="0065078C"/>
    <w:rsid w:val="00655980"/>
    <w:rsid w:val="006575D5"/>
    <w:rsid w:val="0069186F"/>
    <w:rsid w:val="006A2596"/>
    <w:rsid w:val="006B105B"/>
    <w:rsid w:val="006E7D8B"/>
    <w:rsid w:val="00712DF5"/>
    <w:rsid w:val="007246E2"/>
    <w:rsid w:val="00735530"/>
    <w:rsid w:val="00764F21"/>
    <w:rsid w:val="007751E6"/>
    <w:rsid w:val="00775779"/>
    <w:rsid w:val="007956D9"/>
    <w:rsid w:val="007A55F5"/>
    <w:rsid w:val="007A664D"/>
    <w:rsid w:val="007B74E3"/>
    <w:rsid w:val="007C07B2"/>
    <w:rsid w:val="007D3514"/>
    <w:rsid w:val="007D61FE"/>
    <w:rsid w:val="007D7139"/>
    <w:rsid w:val="007F0719"/>
    <w:rsid w:val="00801AF9"/>
    <w:rsid w:val="00813D7A"/>
    <w:rsid w:val="00851EFC"/>
    <w:rsid w:val="00882624"/>
    <w:rsid w:val="00895007"/>
    <w:rsid w:val="008B093D"/>
    <w:rsid w:val="008B195D"/>
    <w:rsid w:val="008C63BD"/>
    <w:rsid w:val="008E1528"/>
    <w:rsid w:val="008F43F5"/>
    <w:rsid w:val="008F5080"/>
    <w:rsid w:val="00922A74"/>
    <w:rsid w:val="00927550"/>
    <w:rsid w:val="00966B50"/>
    <w:rsid w:val="0097324D"/>
    <w:rsid w:val="009B3FF7"/>
    <w:rsid w:val="009D1882"/>
    <w:rsid w:val="009D26C8"/>
    <w:rsid w:val="009E7204"/>
    <w:rsid w:val="00A03FAD"/>
    <w:rsid w:val="00A120D8"/>
    <w:rsid w:val="00A1502E"/>
    <w:rsid w:val="00A440F4"/>
    <w:rsid w:val="00A466D1"/>
    <w:rsid w:val="00A5393D"/>
    <w:rsid w:val="00A62E0E"/>
    <w:rsid w:val="00A65A11"/>
    <w:rsid w:val="00AF3A3B"/>
    <w:rsid w:val="00B11BB9"/>
    <w:rsid w:val="00B27093"/>
    <w:rsid w:val="00B27311"/>
    <w:rsid w:val="00B52595"/>
    <w:rsid w:val="00B6061C"/>
    <w:rsid w:val="00B60878"/>
    <w:rsid w:val="00B63A62"/>
    <w:rsid w:val="00B66CB4"/>
    <w:rsid w:val="00B867E1"/>
    <w:rsid w:val="00B92F8E"/>
    <w:rsid w:val="00BA70B0"/>
    <w:rsid w:val="00BD1933"/>
    <w:rsid w:val="00BE748C"/>
    <w:rsid w:val="00C00A48"/>
    <w:rsid w:val="00C01864"/>
    <w:rsid w:val="00C12255"/>
    <w:rsid w:val="00C274CA"/>
    <w:rsid w:val="00C31EBD"/>
    <w:rsid w:val="00C602DB"/>
    <w:rsid w:val="00C67538"/>
    <w:rsid w:val="00C75D53"/>
    <w:rsid w:val="00C81C11"/>
    <w:rsid w:val="00C84268"/>
    <w:rsid w:val="00C94584"/>
    <w:rsid w:val="00CB280A"/>
    <w:rsid w:val="00CB613B"/>
    <w:rsid w:val="00CC29C4"/>
    <w:rsid w:val="00D06A58"/>
    <w:rsid w:val="00D141F6"/>
    <w:rsid w:val="00D27364"/>
    <w:rsid w:val="00D40EEB"/>
    <w:rsid w:val="00D467D1"/>
    <w:rsid w:val="00D50DCF"/>
    <w:rsid w:val="00D62C7D"/>
    <w:rsid w:val="00D66117"/>
    <w:rsid w:val="00D8517F"/>
    <w:rsid w:val="00DA03E1"/>
    <w:rsid w:val="00DC78C1"/>
    <w:rsid w:val="00DD2E66"/>
    <w:rsid w:val="00E17ADA"/>
    <w:rsid w:val="00E214B1"/>
    <w:rsid w:val="00E239C8"/>
    <w:rsid w:val="00E57758"/>
    <w:rsid w:val="00E64423"/>
    <w:rsid w:val="00E755E2"/>
    <w:rsid w:val="00E904E7"/>
    <w:rsid w:val="00E968D8"/>
    <w:rsid w:val="00E96947"/>
    <w:rsid w:val="00EA0C29"/>
    <w:rsid w:val="00EC103F"/>
    <w:rsid w:val="00ED0C87"/>
    <w:rsid w:val="00ED625E"/>
    <w:rsid w:val="00EF0C02"/>
    <w:rsid w:val="00F02305"/>
    <w:rsid w:val="00F15BA0"/>
    <w:rsid w:val="00F514FF"/>
    <w:rsid w:val="00F824AC"/>
    <w:rsid w:val="00F8772B"/>
    <w:rsid w:val="00F9529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B279D"/>
  <w15:docId w15:val="{54913BF9-174C-4798-875B-8ED70462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8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0A"/>
    <w:pPr>
      <w:tabs>
        <w:tab w:val="center" w:pos="4513"/>
        <w:tab w:val="right" w:pos="9026"/>
      </w:tabs>
    </w:pPr>
  </w:style>
  <w:style w:type="character" w:customStyle="1" w:styleId="HeaderChar">
    <w:name w:val="Header Char"/>
    <w:basedOn w:val="DefaultParagraphFont"/>
    <w:link w:val="Header"/>
    <w:uiPriority w:val="99"/>
    <w:rsid w:val="00CB280A"/>
  </w:style>
  <w:style w:type="paragraph" w:styleId="Footer">
    <w:name w:val="footer"/>
    <w:basedOn w:val="Normal"/>
    <w:link w:val="FooterChar"/>
    <w:uiPriority w:val="99"/>
    <w:unhideWhenUsed/>
    <w:rsid w:val="00CB280A"/>
    <w:pPr>
      <w:tabs>
        <w:tab w:val="center" w:pos="4513"/>
        <w:tab w:val="right" w:pos="9026"/>
      </w:tabs>
    </w:pPr>
  </w:style>
  <w:style w:type="character" w:customStyle="1" w:styleId="FooterChar">
    <w:name w:val="Footer Char"/>
    <w:basedOn w:val="DefaultParagraphFont"/>
    <w:link w:val="Footer"/>
    <w:uiPriority w:val="99"/>
    <w:rsid w:val="00CB280A"/>
  </w:style>
  <w:style w:type="paragraph" w:styleId="NormalWeb">
    <w:name w:val="Normal (Web)"/>
    <w:basedOn w:val="Normal"/>
    <w:uiPriority w:val="99"/>
    <w:semiHidden/>
    <w:unhideWhenUsed/>
    <w:rsid w:val="00CB280A"/>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CB280A"/>
    <w:rPr>
      <w:color w:val="0563C1" w:themeColor="hyperlink"/>
      <w:u w:val="single"/>
    </w:rPr>
  </w:style>
  <w:style w:type="character" w:customStyle="1" w:styleId="UnresolvedMention1">
    <w:name w:val="Unresolved Mention1"/>
    <w:basedOn w:val="DefaultParagraphFont"/>
    <w:uiPriority w:val="99"/>
    <w:semiHidden/>
    <w:unhideWhenUsed/>
    <w:rsid w:val="00CB280A"/>
    <w:rPr>
      <w:color w:val="605E5C"/>
      <w:shd w:val="clear" w:color="auto" w:fill="E1DFDD"/>
    </w:rPr>
  </w:style>
  <w:style w:type="character" w:customStyle="1" w:styleId="Heading1Char">
    <w:name w:val="Heading 1 Char"/>
    <w:basedOn w:val="DefaultParagraphFont"/>
    <w:link w:val="Heading1"/>
    <w:uiPriority w:val="9"/>
    <w:rsid w:val="00CB280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7D7139"/>
  </w:style>
  <w:style w:type="paragraph" w:styleId="ListParagraph">
    <w:name w:val="List Paragraph"/>
    <w:basedOn w:val="Normal"/>
    <w:uiPriority w:val="34"/>
    <w:qFormat/>
    <w:rsid w:val="003A4E78"/>
    <w:pPr>
      <w:ind w:left="720"/>
      <w:contextualSpacing/>
    </w:pPr>
  </w:style>
  <w:style w:type="character" w:styleId="FollowedHyperlink">
    <w:name w:val="FollowedHyperlink"/>
    <w:basedOn w:val="DefaultParagraphFont"/>
    <w:uiPriority w:val="99"/>
    <w:semiHidden/>
    <w:unhideWhenUsed/>
    <w:rsid w:val="00351C4A"/>
    <w:rPr>
      <w:color w:val="954F72" w:themeColor="followedHyperlink"/>
      <w:u w:val="single"/>
    </w:rPr>
  </w:style>
  <w:style w:type="paragraph" w:styleId="FootnoteText">
    <w:name w:val="footnote text"/>
    <w:basedOn w:val="Normal"/>
    <w:link w:val="FootnoteTextChar"/>
    <w:uiPriority w:val="99"/>
    <w:unhideWhenUsed/>
    <w:rsid w:val="00712DF5"/>
    <w:rPr>
      <w:rFonts w:ascii="Arial" w:eastAsia="Arial" w:hAnsi="Arial" w:cs="Arial"/>
      <w:sz w:val="20"/>
      <w:szCs w:val="20"/>
      <w:lang w:val="en-GB" w:eastAsia="en-GB"/>
    </w:rPr>
  </w:style>
  <w:style w:type="character" w:customStyle="1" w:styleId="FootnoteTextChar">
    <w:name w:val="Footnote Text Char"/>
    <w:basedOn w:val="DefaultParagraphFont"/>
    <w:link w:val="FootnoteText"/>
    <w:uiPriority w:val="99"/>
    <w:rsid w:val="00712DF5"/>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712DF5"/>
    <w:rPr>
      <w:vertAlign w:val="superscript"/>
    </w:rPr>
  </w:style>
  <w:style w:type="paragraph" w:styleId="BalloonText">
    <w:name w:val="Balloon Text"/>
    <w:basedOn w:val="Normal"/>
    <w:link w:val="BalloonTextChar"/>
    <w:uiPriority w:val="99"/>
    <w:semiHidden/>
    <w:unhideWhenUsed/>
    <w:rsid w:val="007751E6"/>
    <w:rPr>
      <w:rFonts w:ascii="Tahoma" w:hAnsi="Tahoma" w:cs="Tahoma"/>
      <w:sz w:val="16"/>
      <w:szCs w:val="16"/>
    </w:rPr>
  </w:style>
  <w:style w:type="character" w:customStyle="1" w:styleId="BalloonTextChar">
    <w:name w:val="Balloon Text Char"/>
    <w:basedOn w:val="DefaultParagraphFont"/>
    <w:link w:val="BalloonText"/>
    <w:uiPriority w:val="99"/>
    <w:semiHidden/>
    <w:rsid w:val="00775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5320">
      <w:bodyDiv w:val="1"/>
      <w:marLeft w:val="0"/>
      <w:marRight w:val="0"/>
      <w:marTop w:val="0"/>
      <w:marBottom w:val="0"/>
      <w:divBdr>
        <w:top w:val="none" w:sz="0" w:space="0" w:color="auto"/>
        <w:left w:val="none" w:sz="0" w:space="0" w:color="auto"/>
        <w:bottom w:val="none" w:sz="0" w:space="0" w:color="auto"/>
        <w:right w:val="none" w:sz="0" w:space="0" w:color="auto"/>
      </w:divBdr>
    </w:div>
    <w:div w:id="267130044">
      <w:bodyDiv w:val="1"/>
      <w:marLeft w:val="0"/>
      <w:marRight w:val="0"/>
      <w:marTop w:val="0"/>
      <w:marBottom w:val="0"/>
      <w:divBdr>
        <w:top w:val="none" w:sz="0" w:space="0" w:color="auto"/>
        <w:left w:val="none" w:sz="0" w:space="0" w:color="auto"/>
        <w:bottom w:val="none" w:sz="0" w:space="0" w:color="auto"/>
        <w:right w:val="none" w:sz="0" w:space="0" w:color="auto"/>
      </w:divBdr>
    </w:div>
    <w:div w:id="827861579">
      <w:bodyDiv w:val="1"/>
      <w:marLeft w:val="0"/>
      <w:marRight w:val="0"/>
      <w:marTop w:val="0"/>
      <w:marBottom w:val="0"/>
      <w:divBdr>
        <w:top w:val="none" w:sz="0" w:space="0" w:color="auto"/>
        <w:left w:val="none" w:sz="0" w:space="0" w:color="auto"/>
        <w:bottom w:val="none" w:sz="0" w:space="0" w:color="auto"/>
        <w:right w:val="none" w:sz="0" w:space="0" w:color="auto"/>
      </w:divBdr>
    </w:div>
    <w:div w:id="949898657">
      <w:bodyDiv w:val="1"/>
      <w:marLeft w:val="0"/>
      <w:marRight w:val="0"/>
      <w:marTop w:val="0"/>
      <w:marBottom w:val="0"/>
      <w:divBdr>
        <w:top w:val="none" w:sz="0" w:space="0" w:color="auto"/>
        <w:left w:val="none" w:sz="0" w:space="0" w:color="auto"/>
        <w:bottom w:val="none" w:sz="0" w:space="0" w:color="auto"/>
        <w:right w:val="none" w:sz="0" w:space="0" w:color="auto"/>
      </w:divBdr>
    </w:div>
    <w:div w:id="974456082">
      <w:bodyDiv w:val="1"/>
      <w:marLeft w:val="0"/>
      <w:marRight w:val="0"/>
      <w:marTop w:val="0"/>
      <w:marBottom w:val="0"/>
      <w:divBdr>
        <w:top w:val="none" w:sz="0" w:space="0" w:color="auto"/>
        <w:left w:val="none" w:sz="0" w:space="0" w:color="auto"/>
        <w:bottom w:val="none" w:sz="0" w:space="0" w:color="auto"/>
        <w:right w:val="none" w:sz="0" w:space="0" w:color="auto"/>
      </w:divBdr>
    </w:div>
    <w:div w:id="994840286">
      <w:bodyDiv w:val="1"/>
      <w:marLeft w:val="0"/>
      <w:marRight w:val="0"/>
      <w:marTop w:val="0"/>
      <w:marBottom w:val="0"/>
      <w:divBdr>
        <w:top w:val="none" w:sz="0" w:space="0" w:color="auto"/>
        <w:left w:val="none" w:sz="0" w:space="0" w:color="auto"/>
        <w:bottom w:val="none" w:sz="0" w:space="0" w:color="auto"/>
        <w:right w:val="none" w:sz="0" w:space="0" w:color="auto"/>
      </w:divBdr>
    </w:div>
    <w:div w:id="1288511213">
      <w:bodyDiv w:val="1"/>
      <w:marLeft w:val="0"/>
      <w:marRight w:val="0"/>
      <w:marTop w:val="0"/>
      <w:marBottom w:val="0"/>
      <w:divBdr>
        <w:top w:val="none" w:sz="0" w:space="0" w:color="auto"/>
        <w:left w:val="none" w:sz="0" w:space="0" w:color="auto"/>
        <w:bottom w:val="none" w:sz="0" w:space="0" w:color="auto"/>
        <w:right w:val="none" w:sz="0" w:space="0" w:color="auto"/>
      </w:divBdr>
      <w:divsChild>
        <w:div w:id="19425706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1E2D42E-5AE4-44FE-BA92-74C409F3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4321</Words>
  <Characters>24633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vivek yadav danduboina</cp:lastModifiedBy>
  <cp:revision>5</cp:revision>
  <dcterms:created xsi:type="dcterms:W3CDTF">2025-12-08T16:11:00Z</dcterms:created>
  <dcterms:modified xsi:type="dcterms:W3CDTF">2026-06-24T14:52:00Z</dcterms:modified>
</cp:coreProperties>
</file>